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6C8178" w14:textId="77777777" w:rsidR="000149F9" w:rsidRDefault="000149F9">
      <w:pPr>
        <w:spacing w:line="276" w:lineRule="auto"/>
        <w:jc w:val="both"/>
        <w:rPr>
          <w:rFonts w:ascii="Cambria" w:hAnsi="Cambria"/>
        </w:rPr>
      </w:pPr>
    </w:p>
    <w:p w14:paraId="68AF8AA5" w14:textId="77777777" w:rsidR="000149F9" w:rsidRDefault="000149F9">
      <w:pPr>
        <w:spacing w:line="276" w:lineRule="auto"/>
        <w:jc w:val="both"/>
        <w:rPr>
          <w:rFonts w:ascii="Cambria" w:hAnsi="Cambria"/>
        </w:rPr>
      </w:pPr>
    </w:p>
    <w:tbl>
      <w:tblPr>
        <w:tblStyle w:val="Grilledutableau"/>
        <w:tblW w:w="0" w:type="auto"/>
        <w:tblLook w:val="04A0" w:firstRow="1" w:lastRow="0" w:firstColumn="1" w:lastColumn="0" w:noHBand="0" w:noVBand="1"/>
      </w:tblPr>
      <w:tblGrid>
        <w:gridCol w:w="9062"/>
      </w:tblGrid>
      <w:tr w:rsidR="000149F9" w14:paraId="7650EB61" w14:textId="77777777">
        <w:tc>
          <w:tcPr>
            <w:tcW w:w="9062" w:type="dxa"/>
          </w:tcPr>
          <w:p w14:paraId="3166C2AB" w14:textId="77777777" w:rsidR="000149F9" w:rsidRDefault="000149F9">
            <w:pPr>
              <w:spacing w:after="0" w:line="276" w:lineRule="auto"/>
              <w:jc w:val="center"/>
              <w:rPr>
                <w:rFonts w:ascii="Cambria" w:hAnsi="Cambria"/>
                <w:b/>
                <w:bCs/>
                <w:u w:val="single"/>
              </w:rPr>
            </w:pPr>
          </w:p>
          <w:p w14:paraId="4E46F515" w14:textId="77777777" w:rsidR="000149F9" w:rsidRDefault="00000000">
            <w:pPr>
              <w:spacing w:after="0" w:line="276" w:lineRule="auto"/>
              <w:jc w:val="center"/>
              <w:rPr>
                <w:rFonts w:ascii="Cambria" w:hAnsi="Cambria"/>
                <w:b/>
                <w:bCs/>
                <w:u w:val="single"/>
              </w:rPr>
            </w:pPr>
            <w:r>
              <w:rPr>
                <w:rFonts w:ascii="Cambria" w:hAnsi="Cambria"/>
                <w:b/>
                <w:bCs/>
                <w:u w:val="single"/>
              </w:rPr>
              <w:t>PROJET DE PLAN DE REDRESSEMENT</w:t>
            </w:r>
          </w:p>
          <w:p w14:paraId="1335141A" w14:textId="77777777" w:rsidR="000149F9" w:rsidRDefault="000149F9">
            <w:pPr>
              <w:spacing w:after="0" w:line="276" w:lineRule="auto"/>
              <w:jc w:val="both"/>
              <w:rPr>
                <w:rFonts w:ascii="Cambria" w:hAnsi="Cambria"/>
              </w:rPr>
            </w:pPr>
          </w:p>
        </w:tc>
      </w:tr>
    </w:tbl>
    <w:p w14:paraId="1962E273" w14:textId="77777777" w:rsidR="000149F9" w:rsidRDefault="000149F9">
      <w:pPr>
        <w:spacing w:line="276" w:lineRule="auto"/>
        <w:jc w:val="both"/>
        <w:rPr>
          <w:rFonts w:ascii="Cambria" w:hAnsi="Cambria"/>
        </w:rPr>
      </w:pPr>
    </w:p>
    <w:p w14:paraId="01961326" w14:textId="77777777" w:rsidR="000149F9" w:rsidRDefault="000149F9">
      <w:pPr>
        <w:spacing w:line="276" w:lineRule="auto"/>
        <w:jc w:val="both"/>
        <w:rPr>
          <w:rFonts w:ascii="Cambria" w:hAnsi="Cambria"/>
        </w:rPr>
      </w:pPr>
    </w:p>
    <w:p w14:paraId="75694336" w14:textId="77777777" w:rsidR="000149F9" w:rsidRDefault="000149F9">
      <w:pPr>
        <w:spacing w:line="276" w:lineRule="auto"/>
        <w:jc w:val="both"/>
        <w:rPr>
          <w:rFonts w:ascii="Cambria" w:hAnsi="Cambria"/>
        </w:rPr>
      </w:pPr>
    </w:p>
    <w:p w14:paraId="6244677A" w14:textId="77777777" w:rsidR="000149F9" w:rsidRDefault="000149F9">
      <w:pPr>
        <w:spacing w:line="276" w:lineRule="auto"/>
        <w:jc w:val="both"/>
        <w:rPr>
          <w:rFonts w:ascii="Cambria" w:hAnsi="Cambria"/>
        </w:rPr>
      </w:pPr>
    </w:p>
    <w:p w14:paraId="7542983F" w14:textId="77777777" w:rsidR="000149F9" w:rsidRDefault="000149F9">
      <w:pPr>
        <w:spacing w:line="276" w:lineRule="auto"/>
        <w:jc w:val="both"/>
        <w:rPr>
          <w:rFonts w:ascii="Cambria" w:hAnsi="Cambria"/>
        </w:rPr>
      </w:pPr>
    </w:p>
    <w:p w14:paraId="16D79C6E" w14:textId="77777777" w:rsidR="000149F9" w:rsidRDefault="00000000">
      <w:pPr>
        <w:spacing w:line="276" w:lineRule="auto"/>
        <w:jc w:val="both"/>
        <w:rPr>
          <w:rFonts w:ascii="Cambria" w:hAnsi="Cambria"/>
          <w:b/>
          <w:bCs/>
          <w:u w:val="single"/>
        </w:rPr>
      </w:pPr>
      <w:r>
        <w:rPr>
          <w:rFonts w:ascii="Cambria" w:hAnsi="Cambria"/>
          <w:b/>
          <w:bCs/>
          <w:u w:val="single"/>
        </w:rPr>
        <w:t>POUR</w:t>
      </w:r>
    </w:p>
    <w:p w14:paraId="6898DF08" w14:textId="77777777" w:rsidR="000149F9" w:rsidRDefault="00000000">
      <w:pPr>
        <w:spacing w:line="276" w:lineRule="auto"/>
        <w:jc w:val="both"/>
        <w:rPr>
          <w:rFonts w:ascii="Cambria" w:hAnsi="Cambria"/>
        </w:rPr>
      </w:pPr>
      <w:r>
        <w:rPr>
          <w:rFonts w:ascii="Cambria" w:hAnsi="Cambria"/>
        </w:rPr>
        <w:t xml:space="preserve">La Société </w:t>
      </w:r>
      <w:r>
        <w:rPr>
          <w:rFonts w:ascii="Cambria" w:hAnsi="Cambria"/>
          <w:b/>
          <w:bCs/>
        </w:rPr>
        <w:t>EXCELSIOR CONSULTING</w:t>
      </w:r>
      <w:r>
        <w:rPr>
          <w:rFonts w:ascii="Cambria" w:hAnsi="Cambria"/>
        </w:rPr>
        <w:t xml:space="preserve">, Société par Actions Simplifiée, immatriculée au R.C.S. de Marseille sous le numéro 880 847 447, dont le siège social est sis, 72 avenue des Caillols 13012 MARSEILLE. Prises en la personne de son représentant légal, Monsieur Sébastien ZIANI. </w:t>
      </w:r>
    </w:p>
    <w:p w14:paraId="4BB12327" w14:textId="77777777" w:rsidR="000149F9" w:rsidRDefault="000149F9">
      <w:pPr>
        <w:spacing w:line="276" w:lineRule="auto"/>
        <w:jc w:val="both"/>
        <w:rPr>
          <w:rFonts w:ascii="Cambria" w:hAnsi="Cambria"/>
        </w:rPr>
      </w:pPr>
    </w:p>
    <w:p w14:paraId="659E6290" w14:textId="77777777" w:rsidR="000149F9" w:rsidRDefault="00000000">
      <w:pPr>
        <w:spacing w:line="276" w:lineRule="auto"/>
        <w:ind w:left="1416"/>
        <w:jc w:val="both"/>
        <w:rPr>
          <w:rFonts w:ascii="Cambria" w:hAnsi="Cambria"/>
        </w:rPr>
      </w:pPr>
      <w:r>
        <w:rPr>
          <w:rFonts w:ascii="Cambria" w:hAnsi="Cambria"/>
          <w:b/>
          <w:bCs/>
          <w:u w:val="single"/>
        </w:rPr>
        <w:t xml:space="preserve">Ayant pour </w:t>
      </w:r>
      <w:proofErr w:type="gramStart"/>
      <w:r>
        <w:rPr>
          <w:rFonts w:ascii="Cambria" w:hAnsi="Cambria"/>
          <w:b/>
          <w:bCs/>
          <w:u w:val="single"/>
        </w:rPr>
        <w:t>avocat</w:t>
      </w:r>
      <w:r>
        <w:rPr>
          <w:rFonts w:ascii="Cambria" w:hAnsi="Cambria"/>
        </w:rPr>
        <w:t xml:space="preserve">  ;</w:t>
      </w:r>
      <w:proofErr w:type="gramEnd"/>
      <w:r>
        <w:rPr>
          <w:rFonts w:ascii="Cambria" w:hAnsi="Cambria"/>
        </w:rPr>
        <w:t xml:space="preserve"> Maître Stéphane PEREL, </w:t>
      </w:r>
      <w:proofErr w:type="gramStart"/>
      <w:r>
        <w:rPr>
          <w:rFonts w:ascii="Cambria" w:hAnsi="Cambria"/>
        </w:rPr>
        <w:t>Avocat</w:t>
      </w:r>
      <w:proofErr w:type="gramEnd"/>
      <w:r>
        <w:rPr>
          <w:rFonts w:ascii="Cambria" w:hAnsi="Cambria"/>
        </w:rPr>
        <w:t xml:space="preserve"> au barreau de Marseille, dont le cabinet est sis, 3 rue Marchetti, 13002 Marseille.</w:t>
      </w:r>
    </w:p>
    <w:p w14:paraId="08380E86" w14:textId="77777777" w:rsidR="000149F9" w:rsidRDefault="000149F9">
      <w:pPr>
        <w:spacing w:line="276" w:lineRule="auto"/>
        <w:jc w:val="both"/>
        <w:rPr>
          <w:rFonts w:ascii="Cambria" w:hAnsi="Cambria"/>
        </w:rPr>
      </w:pPr>
    </w:p>
    <w:p w14:paraId="6991E6D8" w14:textId="77777777" w:rsidR="000149F9" w:rsidRDefault="000149F9">
      <w:pPr>
        <w:spacing w:line="276" w:lineRule="auto"/>
        <w:jc w:val="both"/>
        <w:rPr>
          <w:rFonts w:ascii="Cambria" w:hAnsi="Cambria"/>
        </w:rPr>
      </w:pPr>
    </w:p>
    <w:p w14:paraId="1D51E734" w14:textId="77777777" w:rsidR="000149F9" w:rsidRDefault="000149F9">
      <w:pPr>
        <w:spacing w:line="276" w:lineRule="auto"/>
        <w:jc w:val="both"/>
        <w:rPr>
          <w:rFonts w:ascii="Cambria" w:hAnsi="Cambria"/>
        </w:rPr>
      </w:pPr>
    </w:p>
    <w:p w14:paraId="6A1F7D98" w14:textId="77777777" w:rsidR="000149F9" w:rsidRDefault="000149F9">
      <w:pPr>
        <w:spacing w:line="276" w:lineRule="auto"/>
        <w:jc w:val="both"/>
        <w:rPr>
          <w:rFonts w:ascii="Cambria" w:hAnsi="Cambria"/>
        </w:rPr>
      </w:pPr>
    </w:p>
    <w:p w14:paraId="552229E7" w14:textId="77777777" w:rsidR="000149F9" w:rsidRDefault="00000000">
      <w:pPr>
        <w:spacing w:line="276" w:lineRule="auto"/>
        <w:jc w:val="both"/>
        <w:rPr>
          <w:rFonts w:ascii="Cambria" w:hAnsi="Cambria"/>
          <w:b/>
          <w:bCs/>
          <w:u w:val="single"/>
        </w:rPr>
      </w:pPr>
      <w:r>
        <w:rPr>
          <w:rFonts w:ascii="Cambria" w:hAnsi="Cambria"/>
          <w:b/>
          <w:bCs/>
          <w:u w:val="single"/>
        </w:rPr>
        <w:t xml:space="preserve">AYANT POUR MANDATAIRE JUDICAIRE : </w:t>
      </w:r>
    </w:p>
    <w:p w14:paraId="1AAE5C29" w14:textId="77777777" w:rsidR="000149F9" w:rsidRDefault="00000000">
      <w:pPr>
        <w:spacing w:line="276" w:lineRule="auto"/>
        <w:jc w:val="both"/>
        <w:rPr>
          <w:rFonts w:ascii="Cambria" w:hAnsi="Cambria"/>
        </w:rPr>
      </w:pPr>
      <w:r>
        <w:rPr>
          <w:rFonts w:ascii="Cambria" w:hAnsi="Cambria"/>
          <w:b/>
          <w:bCs/>
        </w:rPr>
        <w:t>La SAS LES MANDATAIRES</w:t>
      </w:r>
      <w:r>
        <w:rPr>
          <w:rFonts w:ascii="Cambria" w:hAnsi="Cambria"/>
        </w:rPr>
        <w:t xml:space="preserve"> – Marseille, au capital de 20 000,00 euros – RCS 850 597 097, prise en la personne de Maître Hamida RADOUHANI, mandataire judiciaire dans la procédure de redressement judiciaire de la SAS EXCELSIOR CONSULTING. </w:t>
      </w:r>
    </w:p>
    <w:p w14:paraId="2E12512F" w14:textId="77777777" w:rsidR="000149F9" w:rsidRDefault="000149F9">
      <w:pPr>
        <w:spacing w:line="276" w:lineRule="auto"/>
        <w:jc w:val="both"/>
        <w:rPr>
          <w:rFonts w:ascii="Cambria" w:hAnsi="Cambria"/>
        </w:rPr>
      </w:pPr>
    </w:p>
    <w:p w14:paraId="0FC14C12" w14:textId="77777777" w:rsidR="000149F9" w:rsidRDefault="000149F9">
      <w:pPr>
        <w:spacing w:line="276" w:lineRule="auto"/>
        <w:ind w:left="1416"/>
        <w:jc w:val="both"/>
        <w:rPr>
          <w:rFonts w:ascii="Cambria" w:hAnsi="Cambria"/>
        </w:rPr>
      </w:pPr>
    </w:p>
    <w:p w14:paraId="059019C5" w14:textId="77777777" w:rsidR="000149F9" w:rsidRDefault="000149F9">
      <w:pPr>
        <w:spacing w:line="276" w:lineRule="auto"/>
        <w:ind w:left="1416"/>
        <w:jc w:val="both"/>
        <w:rPr>
          <w:rFonts w:ascii="Cambria" w:hAnsi="Cambria"/>
        </w:rPr>
      </w:pPr>
    </w:p>
    <w:p w14:paraId="04395C22" w14:textId="77777777" w:rsidR="000149F9" w:rsidRDefault="000149F9">
      <w:pPr>
        <w:spacing w:line="276" w:lineRule="auto"/>
        <w:ind w:left="1416"/>
        <w:jc w:val="both"/>
        <w:rPr>
          <w:rFonts w:ascii="Cambria" w:hAnsi="Cambria"/>
        </w:rPr>
      </w:pPr>
    </w:p>
    <w:p w14:paraId="2790355B" w14:textId="77777777" w:rsidR="000149F9" w:rsidRDefault="000149F9">
      <w:pPr>
        <w:spacing w:line="276" w:lineRule="auto"/>
        <w:ind w:left="1416"/>
        <w:jc w:val="both"/>
        <w:rPr>
          <w:rFonts w:ascii="Cambria" w:hAnsi="Cambria"/>
        </w:rPr>
      </w:pPr>
    </w:p>
    <w:p w14:paraId="625BB5F4" w14:textId="77777777" w:rsidR="000149F9" w:rsidRDefault="000149F9">
      <w:pPr>
        <w:spacing w:line="276" w:lineRule="auto"/>
        <w:ind w:left="1416"/>
        <w:jc w:val="both"/>
        <w:rPr>
          <w:rFonts w:ascii="Cambria" w:hAnsi="Cambria"/>
        </w:rPr>
      </w:pPr>
    </w:p>
    <w:p w14:paraId="73603FEF" w14:textId="77777777" w:rsidR="000149F9" w:rsidRDefault="000149F9">
      <w:pPr>
        <w:spacing w:line="276" w:lineRule="auto"/>
        <w:ind w:left="1416"/>
        <w:jc w:val="both"/>
        <w:rPr>
          <w:rFonts w:ascii="Cambria" w:hAnsi="Cambria"/>
        </w:rPr>
      </w:pPr>
    </w:p>
    <w:p w14:paraId="4E819C0D" w14:textId="77777777" w:rsidR="000149F9" w:rsidRDefault="000149F9">
      <w:pPr>
        <w:spacing w:line="276" w:lineRule="auto"/>
        <w:jc w:val="both"/>
        <w:rPr>
          <w:rFonts w:ascii="Cambria" w:hAnsi="Cambria"/>
        </w:rPr>
      </w:pPr>
    </w:p>
    <w:tbl>
      <w:tblPr>
        <w:tblStyle w:val="Grilledutableau"/>
        <w:tblW w:w="0" w:type="auto"/>
        <w:tblLook w:val="04A0" w:firstRow="1" w:lastRow="0" w:firstColumn="1" w:lastColumn="0" w:noHBand="0" w:noVBand="1"/>
      </w:tblPr>
      <w:tblGrid>
        <w:gridCol w:w="9062"/>
      </w:tblGrid>
      <w:tr w:rsidR="000149F9" w14:paraId="4E463389" w14:textId="77777777">
        <w:tc>
          <w:tcPr>
            <w:tcW w:w="9062" w:type="dxa"/>
          </w:tcPr>
          <w:p w14:paraId="5D4C6BAC" w14:textId="77777777" w:rsidR="000149F9" w:rsidRDefault="000149F9">
            <w:pPr>
              <w:spacing w:after="0" w:line="276" w:lineRule="auto"/>
              <w:jc w:val="center"/>
              <w:rPr>
                <w:rFonts w:ascii="Cambria" w:hAnsi="Cambria"/>
                <w:b/>
                <w:bCs/>
                <w:u w:val="single"/>
              </w:rPr>
            </w:pPr>
          </w:p>
          <w:p w14:paraId="57CB943A" w14:textId="77777777" w:rsidR="000149F9" w:rsidRDefault="00000000">
            <w:pPr>
              <w:spacing w:after="0" w:line="276" w:lineRule="auto"/>
              <w:jc w:val="center"/>
              <w:rPr>
                <w:rFonts w:ascii="Cambria" w:hAnsi="Cambria"/>
                <w:b/>
                <w:bCs/>
                <w:u w:val="single"/>
              </w:rPr>
            </w:pPr>
            <w:r>
              <w:rPr>
                <w:rFonts w:ascii="Cambria" w:hAnsi="Cambria"/>
                <w:b/>
                <w:bCs/>
                <w:u w:val="single"/>
              </w:rPr>
              <w:t>PLAISE AU TRIBUNAL</w:t>
            </w:r>
          </w:p>
          <w:p w14:paraId="380260BE" w14:textId="77777777" w:rsidR="000149F9" w:rsidRDefault="000149F9">
            <w:pPr>
              <w:spacing w:after="0" w:line="276" w:lineRule="auto"/>
              <w:jc w:val="center"/>
              <w:rPr>
                <w:rFonts w:ascii="Cambria" w:hAnsi="Cambria"/>
              </w:rPr>
            </w:pPr>
          </w:p>
        </w:tc>
      </w:tr>
    </w:tbl>
    <w:p w14:paraId="7633F8CA" w14:textId="77777777" w:rsidR="000149F9" w:rsidRDefault="000149F9">
      <w:pPr>
        <w:spacing w:line="276" w:lineRule="auto"/>
        <w:jc w:val="both"/>
        <w:rPr>
          <w:rFonts w:ascii="Cambria" w:hAnsi="Cambria"/>
        </w:rPr>
      </w:pPr>
    </w:p>
    <w:p w14:paraId="42DC5E69" w14:textId="77777777" w:rsidR="000149F9" w:rsidRDefault="000149F9">
      <w:pPr>
        <w:spacing w:line="276" w:lineRule="auto"/>
        <w:jc w:val="both"/>
        <w:rPr>
          <w:rFonts w:ascii="Cambria" w:hAnsi="Cambria"/>
        </w:rPr>
      </w:pPr>
    </w:p>
    <w:p w14:paraId="1B1EB3E5" w14:textId="77777777" w:rsidR="000149F9" w:rsidRDefault="00000000">
      <w:pPr>
        <w:pStyle w:val="Paragraphedeliste"/>
        <w:numPr>
          <w:ilvl w:val="0"/>
          <w:numId w:val="1"/>
        </w:numPr>
        <w:spacing w:line="276" w:lineRule="auto"/>
        <w:jc w:val="both"/>
        <w:rPr>
          <w:rFonts w:ascii="Cambria" w:hAnsi="Cambria"/>
          <w:b/>
          <w:bCs/>
          <w:u w:val="single"/>
        </w:rPr>
      </w:pPr>
      <w:r>
        <w:rPr>
          <w:rFonts w:ascii="Cambria" w:hAnsi="Cambria"/>
          <w:b/>
          <w:bCs/>
          <w:u w:val="single"/>
        </w:rPr>
        <w:t>RAPPEL DES FAITS ET DE LA PROCEDURE</w:t>
      </w:r>
    </w:p>
    <w:p w14:paraId="03E81231" w14:textId="77777777" w:rsidR="000149F9" w:rsidRDefault="00000000">
      <w:pPr>
        <w:spacing w:line="276" w:lineRule="auto"/>
        <w:jc w:val="both"/>
        <w:rPr>
          <w:rFonts w:ascii="Cambria" w:hAnsi="Cambria"/>
        </w:rPr>
      </w:pPr>
      <w:r>
        <w:rPr>
          <w:rFonts w:ascii="Cambria" w:hAnsi="Cambria"/>
        </w:rPr>
        <w:t xml:space="preserve">La Société SAS EXCELSIOR CONSULTING, immatriculée en janvier 2020 exerce une activité gestion et d’organisation d’événements. Sa première année d’exercice lui permet de réaliser un Chiffres d’affaires de 22.314€ avant de se constituer une clientèle pour rapidement atteindre un chiffre d’affaires de 434.740€ en 2022. </w:t>
      </w:r>
    </w:p>
    <w:p w14:paraId="790E858A" w14:textId="77777777" w:rsidR="000149F9" w:rsidRDefault="00000000">
      <w:pPr>
        <w:spacing w:line="276" w:lineRule="auto"/>
        <w:jc w:val="both"/>
        <w:rPr>
          <w:rFonts w:ascii="Cambria" w:hAnsi="Cambria"/>
        </w:rPr>
      </w:pPr>
      <w:r>
        <w:rPr>
          <w:rFonts w:ascii="Cambria" w:hAnsi="Cambria"/>
        </w:rPr>
        <w:t xml:space="preserve">En réalité, loin d’être le partenariat annoncé entre MOMA et EXCELSIOR, le groupe MOMA s’est immédiatement désengagé dès l’entrée au capital d’EXCELSIOR, de la gestion de ces deux fonds de commerce. </w:t>
      </w:r>
    </w:p>
    <w:p w14:paraId="3D25F1A0" w14:textId="77777777" w:rsidR="000149F9" w:rsidRDefault="00000000">
      <w:pPr>
        <w:spacing w:line="276" w:lineRule="auto"/>
        <w:jc w:val="both"/>
        <w:rPr>
          <w:rFonts w:ascii="Cambria" w:hAnsi="Cambria"/>
        </w:rPr>
      </w:pPr>
      <w:r>
        <w:rPr>
          <w:rFonts w:ascii="Cambria" w:hAnsi="Cambria"/>
        </w:rPr>
        <w:t>En effet, alors même qu’un accompagnement permanent avait été promis par MOMA, le dirigeant d’EXCELSIOR s’est brutalement trouvé dans l’obligation de gérer deux fonds de commerce de restauration ayant ensemble une cinquantaine de salariés et surtout un niveau de loyer accepté par MOMA totalement décorrélé de la réalité du marché local.</w:t>
      </w:r>
    </w:p>
    <w:p w14:paraId="73B34F94" w14:textId="77777777" w:rsidR="000149F9" w:rsidRDefault="00000000">
      <w:pPr>
        <w:spacing w:line="276" w:lineRule="auto"/>
        <w:jc w:val="both"/>
        <w:rPr>
          <w:rFonts w:ascii="Cambria" w:hAnsi="Cambria"/>
        </w:rPr>
      </w:pPr>
      <w:r>
        <w:rPr>
          <w:rFonts w:ascii="Cambria" w:hAnsi="Cambria"/>
        </w:rPr>
        <w:t>En effet ces deux fonds de commerce devaient s’acquitter d’environs 80.000€ de loyer TTC mensuel. Ce qui est intenable à cet emplacement.</w:t>
      </w:r>
    </w:p>
    <w:p w14:paraId="4100D368" w14:textId="77777777" w:rsidR="000149F9" w:rsidRDefault="00000000">
      <w:pPr>
        <w:spacing w:line="276" w:lineRule="auto"/>
        <w:jc w:val="both"/>
        <w:rPr>
          <w:rFonts w:ascii="Cambria" w:hAnsi="Cambria"/>
        </w:rPr>
      </w:pPr>
      <w:r>
        <w:rPr>
          <w:rFonts w:ascii="Cambria" w:hAnsi="Cambria"/>
        </w:rPr>
        <w:t>Ces engagements souscris par MOMA ont donc contraint le dirigeant d’EXCELSIOR, pour tenter d’y faire face, à abandonner totalement les autre</w:t>
      </w:r>
      <w:r w:rsidR="00604E42">
        <w:rPr>
          <w:rFonts w:ascii="Cambria" w:hAnsi="Cambria"/>
        </w:rPr>
        <w:t>s</w:t>
      </w:r>
      <w:r>
        <w:rPr>
          <w:rFonts w:ascii="Cambria" w:hAnsi="Cambria"/>
        </w:rPr>
        <w:t xml:space="preserve"> activités de cette société et à se consacrer intégralement à la gestion d’ANDIA et de FOREST. </w:t>
      </w:r>
    </w:p>
    <w:p w14:paraId="57BB1353" w14:textId="77777777" w:rsidR="000149F9" w:rsidRDefault="00000000">
      <w:pPr>
        <w:spacing w:line="276" w:lineRule="auto"/>
        <w:jc w:val="both"/>
        <w:rPr>
          <w:rFonts w:ascii="Cambria" w:hAnsi="Cambria"/>
        </w:rPr>
      </w:pPr>
      <w:r>
        <w:rPr>
          <w:rFonts w:ascii="Cambria" w:hAnsi="Cambria"/>
        </w:rPr>
        <w:t>Nonobstant son implication, et le chiffre d’affaires important réalisé par ces deux sociétés en 2024 (ensemble 3.5 millions d’euros HT), ces efforts sont restés vains dans la mesure où le niveau de loyer imposé a mené ces deux société</w:t>
      </w:r>
      <w:r w:rsidR="00604E42">
        <w:rPr>
          <w:rFonts w:ascii="Cambria" w:hAnsi="Cambria"/>
        </w:rPr>
        <w:t>s</w:t>
      </w:r>
      <w:r>
        <w:rPr>
          <w:rFonts w:ascii="Cambria" w:hAnsi="Cambria"/>
        </w:rPr>
        <w:t xml:space="preserve"> à la procédure collective.</w:t>
      </w:r>
    </w:p>
    <w:p w14:paraId="3EE12920" w14:textId="77777777" w:rsidR="000149F9" w:rsidRDefault="00000000">
      <w:pPr>
        <w:spacing w:line="276" w:lineRule="auto"/>
        <w:jc w:val="both"/>
        <w:rPr>
          <w:rFonts w:ascii="Cambria" w:hAnsi="Cambria"/>
        </w:rPr>
      </w:pPr>
      <w:r>
        <w:rPr>
          <w:rFonts w:ascii="Cambria" w:hAnsi="Cambria"/>
        </w:rPr>
        <w:t>ANDIA se trouve actuellement en cours de liquidation amiable.</w:t>
      </w:r>
    </w:p>
    <w:p w14:paraId="5EF37F86" w14:textId="77777777" w:rsidR="000149F9" w:rsidRDefault="00000000">
      <w:pPr>
        <w:spacing w:line="276" w:lineRule="auto"/>
        <w:jc w:val="both"/>
        <w:rPr>
          <w:rFonts w:ascii="Cambria" w:hAnsi="Cambria"/>
        </w:rPr>
      </w:pPr>
      <w:r>
        <w:rPr>
          <w:rFonts w:ascii="Cambria" w:hAnsi="Cambria"/>
        </w:rPr>
        <w:t xml:space="preserve">FOREST se trouve actuellement en redressement judiciaire. </w:t>
      </w:r>
    </w:p>
    <w:p w14:paraId="3E701BC9" w14:textId="77777777" w:rsidR="000149F9" w:rsidRDefault="00000000">
      <w:pPr>
        <w:spacing w:line="276" w:lineRule="auto"/>
        <w:jc w:val="both"/>
        <w:rPr>
          <w:rFonts w:ascii="Cambria" w:hAnsi="Cambria"/>
        </w:rPr>
      </w:pPr>
      <w:r>
        <w:rPr>
          <w:rFonts w:ascii="Cambria" w:hAnsi="Cambria"/>
        </w:rPr>
        <w:t>Privé de ses revenus antérieur, la Société EXCELSIOR n’a puisé la rémunération de ses prestations qu’auprès des deux sociétés dont elle s’occupait à plein temps, à savoir FOREST et ANDIA DEVELOPPEMENT.</w:t>
      </w:r>
    </w:p>
    <w:p w14:paraId="6DE6BB45" w14:textId="77777777" w:rsidR="000149F9" w:rsidRDefault="00000000">
      <w:pPr>
        <w:spacing w:line="276" w:lineRule="auto"/>
        <w:jc w:val="both"/>
        <w:rPr>
          <w:rFonts w:ascii="Cambria" w:hAnsi="Cambria"/>
        </w:rPr>
      </w:pPr>
      <w:r>
        <w:rPr>
          <w:rFonts w:ascii="Cambria" w:hAnsi="Cambria"/>
        </w:rPr>
        <w:t xml:space="preserve">Or, les résultats décevants de ces deux sociétés, et l’asséchement permanent de la trésorerie du fait de saisies conservatoire à répétition effectuées par le bailleur, la situation financière d’EXCELSIOR CONSULTING s’est fortement </w:t>
      </w:r>
      <w:proofErr w:type="gramStart"/>
      <w:r>
        <w:rPr>
          <w:rFonts w:ascii="Cambria" w:hAnsi="Cambria"/>
        </w:rPr>
        <w:t>dégradée</w:t>
      </w:r>
      <w:proofErr w:type="gramEnd"/>
      <w:r>
        <w:rPr>
          <w:rFonts w:ascii="Cambria" w:hAnsi="Cambria"/>
        </w:rPr>
        <w:t xml:space="preserve"> au cours du dernier exercice qui a vu chuter son chiffre d’affaires d’environ 400.000€ à environ 40.000€.</w:t>
      </w:r>
    </w:p>
    <w:p w14:paraId="47AB2A52" w14:textId="77777777" w:rsidR="000149F9" w:rsidRDefault="00000000">
      <w:pPr>
        <w:spacing w:line="276" w:lineRule="auto"/>
        <w:jc w:val="both"/>
        <w:rPr>
          <w:rFonts w:ascii="Cambria" w:hAnsi="Cambria"/>
        </w:rPr>
      </w:pPr>
      <w:r>
        <w:rPr>
          <w:rFonts w:ascii="Cambria" w:hAnsi="Cambria"/>
        </w:rPr>
        <w:t xml:space="preserve">La Société EXCELSIOR CONSULTING cantonnée dans son rôle de gestion et d’animation des fonds de commerce ANDIA et FOREST a donc dû se mettre sous la protection du TAE de Marseille. </w:t>
      </w:r>
    </w:p>
    <w:p w14:paraId="0C836721" w14:textId="77777777" w:rsidR="000149F9" w:rsidRDefault="00000000">
      <w:pPr>
        <w:spacing w:line="276" w:lineRule="auto"/>
        <w:jc w:val="both"/>
        <w:rPr>
          <w:rFonts w:ascii="Cambria" w:hAnsi="Cambria"/>
        </w:rPr>
      </w:pPr>
      <w:r>
        <w:rPr>
          <w:rFonts w:ascii="Cambria" w:hAnsi="Cambria"/>
        </w:rPr>
        <w:t xml:space="preserve">Ce projet qui devait constituer une vraie opportunité pour la SAS EXCELSIOR CONSULTING a nécessité un investissement très important du dirigeant. </w:t>
      </w:r>
    </w:p>
    <w:p w14:paraId="28182093" w14:textId="77777777" w:rsidR="000149F9" w:rsidRDefault="00000000">
      <w:pPr>
        <w:spacing w:line="276" w:lineRule="auto"/>
        <w:jc w:val="both"/>
        <w:rPr>
          <w:rFonts w:ascii="Cambria" w:hAnsi="Cambria"/>
        </w:rPr>
      </w:pPr>
      <w:r>
        <w:rPr>
          <w:rFonts w:ascii="Cambria" w:hAnsi="Cambria"/>
        </w:rPr>
        <w:lastRenderedPageBreak/>
        <w:t>Par un jugement du 10 mars 2025, la SAS EXCELSIOR CONSULTING a été plac</w:t>
      </w:r>
      <w:r w:rsidR="00235058">
        <w:rPr>
          <w:rFonts w:ascii="Cambria" w:hAnsi="Cambria"/>
        </w:rPr>
        <w:t>ée</w:t>
      </w:r>
      <w:r>
        <w:rPr>
          <w:rFonts w:ascii="Cambria" w:hAnsi="Cambria"/>
        </w:rPr>
        <w:t xml:space="preserve"> en redressement judiciaire à la suite d’une assignation de Madame La Comptable Public Du Service Des Impôts Des Entreprise.</w:t>
      </w:r>
    </w:p>
    <w:p w14:paraId="40A67B19" w14:textId="77777777" w:rsidR="000149F9" w:rsidRDefault="00000000">
      <w:pPr>
        <w:spacing w:line="276" w:lineRule="auto"/>
        <w:jc w:val="both"/>
        <w:rPr>
          <w:rFonts w:ascii="Cambria" w:hAnsi="Cambria"/>
        </w:rPr>
      </w:pPr>
      <w:r>
        <w:rPr>
          <w:rFonts w:ascii="Cambria" w:hAnsi="Cambria"/>
        </w:rPr>
        <w:t>La SAS EXCELSIOR CONSULTING a cependant les moyens de poursuivre son activité. Comme il a été exposé précédemment, la Société existait et générait un chiffre d’affaires très important avant sa prise de participation aux Sociétés ANDIA et FOREST.</w:t>
      </w:r>
    </w:p>
    <w:p w14:paraId="4DCD43CD" w14:textId="77777777" w:rsidR="000149F9" w:rsidRDefault="00000000">
      <w:pPr>
        <w:spacing w:line="276" w:lineRule="auto"/>
        <w:jc w:val="both"/>
        <w:rPr>
          <w:rFonts w:ascii="Cambria" w:hAnsi="Cambria"/>
        </w:rPr>
      </w:pPr>
      <w:r>
        <w:rPr>
          <w:rFonts w:ascii="Cambria" w:hAnsi="Cambria"/>
        </w:rPr>
        <w:t>En effet, la SAS EXCELSIOR CONSULTING n’est pas une simple holding, mais bien une société indépendante qui a généré un important volume d’activité avant l’aventure ANDIA/ FOREST et s’est organisée au cours de cette période d’observation pour reprendre ses anciennes activités et apurer le passif généré par « l’aventure MOMA ».</w:t>
      </w:r>
    </w:p>
    <w:p w14:paraId="56AEE185" w14:textId="77777777" w:rsidR="000149F9" w:rsidRPr="00604E42" w:rsidRDefault="00000000">
      <w:pPr>
        <w:spacing w:line="276" w:lineRule="auto"/>
        <w:jc w:val="both"/>
        <w:rPr>
          <w:rFonts w:ascii="Cambria" w:hAnsi="Cambria"/>
          <w:b/>
          <w:bCs/>
          <w:u w:val="single"/>
        </w:rPr>
      </w:pPr>
      <w:r w:rsidRPr="00604E42">
        <w:rPr>
          <w:rFonts w:ascii="Cambria" w:hAnsi="Cambria"/>
          <w:b/>
          <w:bCs/>
          <w:u w:val="single"/>
        </w:rPr>
        <w:t>Le dirigeant d’EXCELSIOR a d’ores et déjà reformé deux partenariat</w:t>
      </w:r>
      <w:r w:rsidR="00604E42" w:rsidRPr="00604E42">
        <w:rPr>
          <w:rFonts w:ascii="Cambria" w:hAnsi="Cambria"/>
          <w:b/>
          <w:bCs/>
          <w:u w:val="single"/>
        </w:rPr>
        <w:t>s</w:t>
      </w:r>
      <w:r w:rsidRPr="00604E42">
        <w:rPr>
          <w:rFonts w:ascii="Cambria" w:hAnsi="Cambria"/>
          <w:b/>
          <w:bCs/>
          <w:u w:val="single"/>
        </w:rPr>
        <w:t xml:space="preserve"> qui représentent ensemble un volume de chiffre d’affaires annuel de 1</w:t>
      </w:r>
      <w:r w:rsidR="00235058">
        <w:rPr>
          <w:rFonts w:ascii="Cambria" w:hAnsi="Cambria"/>
          <w:b/>
          <w:bCs/>
          <w:u w:val="single"/>
        </w:rPr>
        <w:t>8</w:t>
      </w:r>
      <w:r w:rsidRPr="00604E42">
        <w:rPr>
          <w:rFonts w:ascii="Cambria" w:hAnsi="Cambria"/>
          <w:b/>
          <w:bCs/>
          <w:u w:val="single"/>
        </w:rPr>
        <w:t>0.000€ (pièce n°</w:t>
      </w:r>
      <w:r w:rsidR="00604E42" w:rsidRPr="00604E42">
        <w:rPr>
          <w:rFonts w:ascii="Cambria" w:hAnsi="Cambria"/>
          <w:b/>
          <w:bCs/>
          <w:u w:val="single"/>
        </w:rPr>
        <w:t>1</w:t>
      </w:r>
      <w:r w:rsidRPr="00604E42">
        <w:rPr>
          <w:rFonts w:ascii="Cambria" w:hAnsi="Cambria"/>
          <w:b/>
          <w:bCs/>
          <w:u w:val="single"/>
        </w:rPr>
        <w:t>)</w:t>
      </w:r>
      <w:r w:rsidR="00604E42" w:rsidRPr="00604E42">
        <w:rPr>
          <w:rFonts w:ascii="Cambria" w:hAnsi="Cambria"/>
          <w:b/>
          <w:bCs/>
          <w:u w:val="single"/>
        </w:rPr>
        <w:t xml:space="preserve"> pour les premières années du plan.</w:t>
      </w:r>
    </w:p>
    <w:p w14:paraId="0E0E8130" w14:textId="77777777" w:rsidR="000149F9" w:rsidRDefault="000149F9">
      <w:pPr>
        <w:spacing w:line="276" w:lineRule="auto"/>
        <w:jc w:val="both"/>
        <w:rPr>
          <w:rFonts w:ascii="Cambria" w:hAnsi="Cambria"/>
        </w:rPr>
      </w:pPr>
    </w:p>
    <w:p w14:paraId="5D7EC80E" w14:textId="77777777" w:rsidR="000149F9" w:rsidRDefault="000149F9">
      <w:pPr>
        <w:spacing w:line="276" w:lineRule="auto"/>
        <w:jc w:val="both"/>
        <w:rPr>
          <w:rFonts w:ascii="Cambria" w:hAnsi="Cambria"/>
        </w:rPr>
      </w:pPr>
    </w:p>
    <w:p w14:paraId="63CDB513" w14:textId="77777777" w:rsidR="000149F9" w:rsidRDefault="00000000">
      <w:pPr>
        <w:pStyle w:val="Paragraphedeliste"/>
        <w:numPr>
          <w:ilvl w:val="0"/>
          <w:numId w:val="1"/>
        </w:numPr>
        <w:spacing w:line="276" w:lineRule="auto"/>
        <w:jc w:val="both"/>
        <w:rPr>
          <w:rFonts w:ascii="Cambria" w:hAnsi="Cambria"/>
          <w:b/>
          <w:bCs/>
          <w:u w:val="single"/>
        </w:rPr>
      </w:pPr>
      <w:r>
        <w:rPr>
          <w:rFonts w:ascii="Cambria" w:hAnsi="Cambria"/>
          <w:b/>
          <w:bCs/>
          <w:u w:val="single"/>
        </w:rPr>
        <w:t xml:space="preserve">DISCUSSION </w:t>
      </w:r>
    </w:p>
    <w:p w14:paraId="65A87AA2" w14:textId="77777777" w:rsidR="00604E42" w:rsidRDefault="00604E42" w:rsidP="00604E42">
      <w:pPr>
        <w:pStyle w:val="Paragraphedeliste"/>
        <w:spacing w:line="276" w:lineRule="auto"/>
        <w:ind w:left="1080"/>
        <w:jc w:val="both"/>
        <w:rPr>
          <w:rFonts w:ascii="Cambria" w:hAnsi="Cambria"/>
          <w:b/>
          <w:bCs/>
          <w:u w:val="single"/>
        </w:rPr>
      </w:pPr>
    </w:p>
    <w:p w14:paraId="0B7585CD" w14:textId="77777777" w:rsidR="000149F9" w:rsidRDefault="00000000">
      <w:pPr>
        <w:pStyle w:val="Paragraphedeliste"/>
        <w:numPr>
          <w:ilvl w:val="0"/>
          <w:numId w:val="2"/>
        </w:numPr>
        <w:spacing w:line="276" w:lineRule="auto"/>
        <w:jc w:val="both"/>
        <w:rPr>
          <w:rFonts w:ascii="Cambria" w:hAnsi="Cambria"/>
          <w:b/>
          <w:bCs/>
          <w:u w:val="single"/>
        </w:rPr>
      </w:pPr>
      <w:r>
        <w:rPr>
          <w:rFonts w:ascii="Cambria" w:hAnsi="Cambria"/>
          <w:b/>
          <w:bCs/>
          <w:u w:val="single"/>
        </w:rPr>
        <w:t>DECOMPTE DU PASSIF</w:t>
      </w:r>
    </w:p>
    <w:p w14:paraId="369AC0FF" w14:textId="77777777" w:rsidR="000149F9" w:rsidRDefault="00000000">
      <w:pPr>
        <w:spacing w:line="276" w:lineRule="auto"/>
        <w:jc w:val="both"/>
        <w:rPr>
          <w:rFonts w:ascii="Cambria" w:hAnsi="Cambria"/>
        </w:rPr>
      </w:pPr>
      <w:r>
        <w:rPr>
          <w:rFonts w:ascii="Cambria" w:hAnsi="Cambria"/>
        </w:rPr>
        <w:t>A ce jour, le passif de la SAS EXCELSIOR se compose de :</w:t>
      </w:r>
    </w:p>
    <w:p w14:paraId="69EAC0F7" w14:textId="77777777" w:rsidR="000149F9" w:rsidRDefault="00000000">
      <w:pPr>
        <w:pStyle w:val="Paragraphedeliste"/>
        <w:numPr>
          <w:ilvl w:val="0"/>
          <w:numId w:val="3"/>
        </w:numPr>
        <w:spacing w:line="276" w:lineRule="auto"/>
        <w:jc w:val="both"/>
        <w:rPr>
          <w:rFonts w:ascii="Cambria" w:hAnsi="Cambria"/>
        </w:rPr>
      </w:pPr>
      <w:r>
        <w:rPr>
          <w:rFonts w:ascii="Cambria" w:hAnsi="Cambria"/>
        </w:rPr>
        <w:t xml:space="preserve">Une dette fiscale d’un montant de 74.075,00€ </w:t>
      </w:r>
    </w:p>
    <w:p w14:paraId="6DF9A4C3" w14:textId="77777777" w:rsidR="000149F9" w:rsidRDefault="00000000">
      <w:pPr>
        <w:pStyle w:val="Paragraphedeliste"/>
        <w:numPr>
          <w:ilvl w:val="0"/>
          <w:numId w:val="3"/>
        </w:numPr>
        <w:spacing w:line="276" w:lineRule="auto"/>
        <w:jc w:val="both"/>
        <w:rPr>
          <w:rFonts w:ascii="Cambria" w:hAnsi="Cambria"/>
        </w:rPr>
      </w:pPr>
      <w:r>
        <w:rPr>
          <w:rFonts w:ascii="Cambria" w:hAnsi="Cambria"/>
        </w:rPr>
        <w:t>Deux dettes bancaires d’un montant de 67.642.30€</w:t>
      </w:r>
    </w:p>
    <w:p w14:paraId="1D32AF4C" w14:textId="77777777" w:rsidR="000149F9" w:rsidRDefault="00000000">
      <w:pPr>
        <w:pStyle w:val="Paragraphedeliste"/>
        <w:numPr>
          <w:ilvl w:val="0"/>
          <w:numId w:val="3"/>
        </w:numPr>
        <w:spacing w:line="276" w:lineRule="auto"/>
        <w:jc w:val="both"/>
        <w:rPr>
          <w:rFonts w:ascii="Cambria" w:hAnsi="Cambria"/>
        </w:rPr>
      </w:pPr>
      <w:r>
        <w:rPr>
          <w:rFonts w:ascii="Cambria" w:hAnsi="Cambria"/>
        </w:rPr>
        <w:t>Un total de dette de leasing correspondant à la somme de 60.397,82€</w:t>
      </w:r>
    </w:p>
    <w:p w14:paraId="3C7BC429" w14:textId="77777777" w:rsidR="000149F9" w:rsidRDefault="00000000">
      <w:pPr>
        <w:pStyle w:val="Paragraphedeliste"/>
        <w:numPr>
          <w:ilvl w:val="0"/>
          <w:numId w:val="3"/>
        </w:numPr>
        <w:spacing w:line="276" w:lineRule="auto"/>
        <w:jc w:val="both"/>
        <w:rPr>
          <w:rFonts w:ascii="Cambria" w:hAnsi="Cambria"/>
        </w:rPr>
      </w:pPr>
      <w:r>
        <w:rPr>
          <w:rFonts w:ascii="Cambria" w:hAnsi="Cambria"/>
        </w:rPr>
        <w:t>Le remboursement d’un prêt de 12.579,92€</w:t>
      </w:r>
    </w:p>
    <w:p w14:paraId="732132A8" w14:textId="77777777" w:rsidR="000149F9" w:rsidRDefault="00000000">
      <w:pPr>
        <w:pStyle w:val="Paragraphedeliste"/>
        <w:numPr>
          <w:ilvl w:val="0"/>
          <w:numId w:val="3"/>
        </w:numPr>
        <w:spacing w:line="276" w:lineRule="auto"/>
        <w:jc w:val="both"/>
        <w:rPr>
          <w:rFonts w:ascii="Cambria" w:hAnsi="Cambria"/>
        </w:rPr>
      </w:pPr>
      <w:r>
        <w:rPr>
          <w:rFonts w:ascii="Cambria" w:hAnsi="Cambria"/>
        </w:rPr>
        <w:t xml:space="preserve">Le paiement de prestaire et de fournisseur pour un montant de 12.788,03€ </w:t>
      </w:r>
    </w:p>
    <w:p w14:paraId="5BA14819" w14:textId="77777777" w:rsidR="000149F9" w:rsidRDefault="00000000">
      <w:pPr>
        <w:pStyle w:val="Paragraphedeliste"/>
        <w:numPr>
          <w:ilvl w:val="0"/>
          <w:numId w:val="3"/>
        </w:numPr>
        <w:spacing w:line="276" w:lineRule="auto"/>
        <w:jc w:val="both"/>
        <w:rPr>
          <w:rFonts w:ascii="Cambria" w:hAnsi="Cambria"/>
        </w:rPr>
      </w:pPr>
      <w:r>
        <w:rPr>
          <w:rFonts w:ascii="Cambria" w:hAnsi="Cambria"/>
        </w:rPr>
        <w:t>Une dette sociale de 2.681,51</w:t>
      </w:r>
    </w:p>
    <w:p w14:paraId="5557C4AB" w14:textId="77777777" w:rsidR="000149F9" w:rsidRDefault="00000000">
      <w:pPr>
        <w:pStyle w:val="Paragraphedeliste"/>
        <w:numPr>
          <w:ilvl w:val="0"/>
          <w:numId w:val="3"/>
        </w:numPr>
        <w:spacing w:line="276" w:lineRule="auto"/>
        <w:jc w:val="both"/>
        <w:rPr>
          <w:rFonts w:ascii="Cambria" w:hAnsi="Cambria"/>
        </w:rPr>
      </w:pPr>
      <w:r>
        <w:rPr>
          <w:rFonts w:ascii="Cambria" w:hAnsi="Cambria"/>
        </w:rPr>
        <w:t xml:space="preserve">Une dette envers son assureur d’un montant de 999.93€ </w:t>
      </w:r>
    </w:p>
    <w:p w14:paraId="2320A8F1" w14:textId="77777777" w:rsidR="000149F9" w:rsidRDefault="00000000">
      <w:pPr>
        <w:spacing w:line="276" w:lineRule="auto"/>
        <w:jc w:val="both"/>
        <w:rPr>
          <w:rFonts w:ascii="Cambria" w:hAnsi="Cambria"/>
          <w:b/>
          <w:bCs/>
          <w:u w:val="single"/>
        </w:rPr>
      </w:pPr>
      <w:r>
        <w:rPr>
          <w:rFonts w:ascii="Cambria" w:hAnsi="Cambria"/>
          <w:b/>
          <w:bCs/>
          <w:u w:val="single"/>
        </w:rPr>
        <w:t>Pour un montant total de 231 164.51€</w:t>
      </w:r>
    </w:p>
    <w:p w14:paraId="36FDF0B4" w14:textId="77777777" w:rsidR="000149F9" w:rsidRDefault="000149F9">
      <w:pPr>
        <w:spacing w:line="276" w:lineRule="auto"/>
        <w:jc w:val="both"/>
        <w:rPr>
          <w:rFonts w:ascii="Cambria" w:hAnsi="Cambria"/>
        </w:rPr>
      </w:pPr>
    </w:p>
    <w:p w14:paraId="47080A59" w14:textId="77777777" w:rsidR="000149F9" w:rsidRDefault="000149F9">
      <w:pPr>
        <w:spacing w:line="276" w:lineRule="auto"/>
        <w:jc w:val="both"/>
        <w:rPr>
          <w:rFonts w:ascii="Cambria" w:hAnsi="Cambria"/>
        </w:rPr>
      </w:pPr>
    </w:p>
    <w:p w14:paraId="1A81D3D2" w14:textId="77777777" w:rsidR="000149F9" w:rsidRDefault="000149F9">
      <w:pPr>
        <w:spacing w:line="276" w:lineRule="auto"/>
        <w:jc w:val="both"/>
        <w:rPr>
          <w:rFonts w:ascii="Cambria" w:hAnsi="Cambria"/>
        </w:rPr>
      </w:pPr>
    </w:p>
    <w:p w14:paraId="01A7F0D1" w14:textId="77777777" w:rsidR="000149F9" w:rsidRDefault="00000000">
      <w:pPr>
        <w:pStyle w:val="Paragraphedeliste"/>
        <w:numPr>
          <w:ilvl w:val="0"/>
          <w:numId w:val="2"/>
        </w:numPr>
        <w:spacing w:line="276" w:lineRule="auto"/>
        <w:jc w:val="both"/>
        <w:rPr>
          <w:rFonts w:ascii="Cambria" w:hAnsi="Cambria"/>
          <w:b/>
          <w:bCs/>
          <w:u w:val="single"/>
        </w:rPr>
      </w:pPr>
      <w:r>
        <w:rPr>
          <w:rFonts w:ascii="Cambria" w:hAnsi="Cambria"/>
          <w:b/>
          <w:bCs/>
          <w:u w:val="single"/>
        </w:rPr>
        <w:t>MESURES PRISES</w:t>
      </w:r>
    </w:p>
    <w:p w14:paraId="22CE2704" w14:textId="77777777" w:rsidR="000149F9" w:rsidRDefault="00000000">
      <w:pPr>
        <w:spacing w:line="276" w:lineRule="auto"/>
        <w:jc w:val="both"/>
        <w:rPr>
          <w:rFonts w:ascii="Cambria" w:hAnsi="Cambria" w:cs="Cambria"/>
        </w:rPr>
      </w:pPr>
      <w:r>
        <w:rPr>
          <w:rFonts w:ascii="Cambria" w:hAnsi="Cambria" w:cs="Cambria"/>
        </w:rPr>
        <w:t xml:space="preserve">Ensuite, EXCELSIOR continue son activité de Consulting et d’événementiel et envisage de créer des relations commerciales stables et inscrites dans la durée aux moyens de différents contrats déjà signés pour les mois à venir. </w:t>
      </w:r>
    </w:p>
    <w:p w14:paraId="59BB9AEC" w14:textId="77777777" w:rsidR="000149F9" w:rsidRDefault="00000000">
      <w:pPr>
        <w:jc w:val="both"/>
        <w:rPr>
          <w:rFonts w:ascii="Cambria" w:hAnsi="Cambria" w:cs="Cambria"/>
        </w:rPr>
      </w:pPr>
      <w:r>
        <w:rPr>
          <w:rFonts w:ascii="Cambria" w:hAnsi="Cambria" w:cs="Cambria"/>
        </w:rPr>
        <w:t xml:space="preserve">Avant de s’investir de la gestion des Sociétés ANDIA et FOREST, EXCELSIOR CONSULTING générait un chiffre d’affaires de près de 400.000€ annuel (Pièce </w:t>
      </w:r>
      <w:r w:rsidR="00235058">
        <w:rPr>
          <w:rFonts w:ascii="Cambria" w:hAnsi="Cambria" w:cs="Cambria"/>
        </w:rPr>
        <w:t>n°</w:t>
      </w:r>
      <w:r w:rsidR="00604E42">
        <w:rPr>
          <w:rFonts w:ascii="Cambria" w:hAnsi="Cambria" w:cs="Cambria"/>
        </w:rPr>
        <w:t>2</w:t>
      </w:r>
      <w:r>
        <w:rPr>
          <w:rFonts w:ascii="Cambria" w:hAnsi="Cambria" w:cs="Cambria"/>
        </w:rPr>
        <w:t xml:space="preserve">). Son activité économique de cette période a repris, et est redevenue la principale source de revenu de l’entreprise. </w:t>
      </w:r>
    </w:p>
    <w:p w14:paraId="0D33263E" w14:textId="77777777" w:rsidR="000149F9" w:rsidRDefault="000149F9">
      <w:pPr>
        <w:jc w:val="both"/>
        <w:rPr>
          <w:rFonts w:ascii="Cambria" w:hAnsi="Cambria" w:cs="Cambria"/>
        </w:rPr>
      </w:pPr>
    </w:p>
    <w:p w14:paraId="7E4ED3DD" w14:textId="77777777" w:rsidR="000149F9" w:rsidRDefault="000149F9">
      <w:pPr>
        <w:jc w:val="both"/>
      </w:pPr>
    </w:p>
    <w:p w14:paraId="3122C018" w14:textId="77777777" w:rsidR="000149F9" w:rsidRDefault="00000000">
      <w:pPr>
        <w:pStyle w:val="Paragraphedeliste"/>
        <w:numPr>
          <w:ilvl w:val="0"/>
          <w:numId w:val="2"/>
        </w:numPr>
        <w:jc w:val="both"/>
        <w:rPr>
          <w:rFonts w:ascii="Cambria" w:hAnsi="Cambria" w:cs="Cambria"/>
          <w:b/>
          <w:bCs/>
          <w:u w:val="single"/>
        </w:rPr>
      </w:pPr>
      <w:r>
        <w:rPr>
          <w:rFonts w:ascii="Cambria" w:hAnsi="Cambria" w:cs="Cambria"/>
          <w:b/>
          <w:bCs/>
          <w:u w:val="single"/>
        </w:rPr>
        <w:t>PROPOSITION D’APPUREMENT</w:t>
      </w:r>
    </w:p>
    <w:p w14:paraId="1D302779" w14:textId="77777777" w:rsidR="000149F9" w:rsidRDefault="00000000">
      <w:pPr>
        <w:jc w:val="both"/>
        <w:rPr>
          <w:rFonts w:ascii="Cambria" w:hAnsi="Cambria" w:cs="Cambria"/>
        </w:rPr>
      </w:pPr>
      <w:r>
        <w:rPr>
          <w:rFonts w:ascii="Cambria" w:hAnsi="Cambria" w:cs="Cambria"/>
        </w:rPr>
        <w:t>Le projet de plan de redressement, propose un apurement à hauteur de 100% du passif de la SAS EXCELSIOR CONSULTING, sur une durée de 10 années de manière progressive et selon les modalités suivantes.</w:t>
      </w:r>
    </w:p>
    <w:p w14:paraId="5B66FCC3" w14:textId="77777777" w:rsidR="000149F9" w:rsidRDefault="000149F9">
      <w:pPr>
        <w:jc w:val="both"/>
        <w:rPr>
          <w:rFonts w:ascii="Cambria" w:hAnsi="Cambria" w:cs="Cambria"/>
        </w:rPr>
      </w:pPr>
    </w:p>
    <w:tbl>
      <w:tblPr>
        <w:tblStyle w:val="Grilledutableau"/>
        <w:tblW w:w="9748" w:type="dxa"/>
        <w:tblLook w:val="04A0" w:firstRow="1" w:lastRow="0" w:firstColumn="1" w:lastColumn="0" w:noHBand="0" w:noVBand="1"/>
      </w:tblPr>
      <w:tblGrid>
        <w:gridCol w:w="959"/>
        <w:gridCol w:w="959"/>
        <w:gridCol w:w="959"/>
        <w:gridCol w:w="959"/>
        <w:gridCol w:w="959"/>
        <w:gridCol w:w="959"/>
        <w:gridCol w:w="959"/>
        <w:gridCol w:w="959"/>
        <w:gridCol w:w="1026"/>
        <w:gridCol w:w="1050"/>
      </w:tblGrid>
      <w:tr w:rsidR="000149F9" w14:paraId="2B245FD9" w14:textId="77777777">
        <w:trPr>
          <w:trHeight w:val="382"/>
        </w:trPr>
        <w:tc>
          <w:tcPr>
            <w:tcW w:w="959" w:type="dxa"/>
          </w:tcPr>
          <w:p w14:paraId="18FB9A56" w14:textId="77777777" w:rsidR="000149F9" w:rsidRDefault="00000000">
            <w:pPr>
              <w:spacing w:after="0" w:line="240" w:lineRule="auto"/>
              <w:jc w:val="both"/>
              <w:rPr>
                <w:sz w:val="20"/>
                <w:szCs w:val="20"/>
              </w:rPr>
            </w:pPr>
            <w:r>
              <w:rPr>
                <w:sz w:val="20"/>
                <w:szCs w:val="20"/>
              </w:rPr>
              <w:t>Année 1</w:t>
            </w:r>
          </w:p>
        </w:tc>
        <w:tc>
          <w:tcPr>
            <w:tcW w:w="959" w:type="dxa"/>
          </w:tcPr>
          <w:p w14:paraId="075C9263" w14:textId="77777777" w:rsidR="000149F9" w:rsidRDefault="00000000">
            <w:pPr>
              <w:spacing w:after="0" w:line="240" w:lineRule="auto"/>
              <w:jc w:val="both"/>
              <w:rPr>
                <w:sz w:val="20"/>
                <w:szCs w:val="20"/>
              </w:rPr>
            </w:pPr>
            <w:r>
              <w:rPr>
                <w:sz w:val="20"/>
                <w:szCs w:val="20"/>
              </w:rPr>
              <w:t>Année 2</w:t>
            </w:r>
          </w:p>
        </w:tc>
        <w:tc>
          <w:tcPr>
            <w:tcW w:w="959" w:type="dxa"/>
          </w:tcPr>
          <w:p w14:paraId="05689BD6" w14:textId="77777777" w:rsidR="000149F9" w:rsidRDefault="00000000">
            <w:pPr>
              <w:spacing w:after="0" w:line="240" w:lineRule="auto"/>
              <w:jc w:val="both"/>
              <w:rPr>
                <w:sz w:val="20"/>
                <w:szCs w:val="20"/>
              </w:rPr>
            </w:pPr>
            <w:r>
              <w:rPr>
                <w:sz w:val="20"/>
                <w:szCs w:val="20"/>
              </w:rPr>
              <w:t>Année 3</w:t>
            </w:r>
          </w:p>
        </w:tc>
        <w:tc>
          <w:tcPr>
            <w:tcW w:w="959" w:type="dxa"/>
          </w:tcPr>
          <w:p w14:paraId="192F193E" w14:textId="77777777" w:rsidR="000149F9" w:rsidRDefault="00000000">
            <w:pPr>
              <w:spacing w:after="0" w:line="240" w:lineRule="auto"/>
              <w:jc w:val="both"/>
              <w:rPr>
                <w:sz w:val="20"/>
                <w:szCs w:val="20"/>
              </w:rPr>
            </w:pPr>
            <w:r>
              <w:rPr>
                <w:sz w:val="20"/>
                <w:szCs w:val="20"/>
              </w:rPr>
              <w:t>Année 4</w:t>
            </w:r>
          </w:p>
        </w:tc>
        <w:tc>
          <w:tcPr>
            <w:tcW w:w="959" w:type="dxa"/>
          </w:tcPr>
          <w:p w14:paraId="3EE8115A" w14:textId="77777777" w:rsidR="000149F9" w:rsidRDefault="00000000">
            <w:pPr>
              <w:spacing w:after="0" w:line="240" w:lineRule="auto"/>
              <w:jc w:val="both"/>
              <w:rPr>
                <w:sz w:val="20"/>
                <w:szCs w:val="20"/>
              </w:rPr>
            </w:pPr>
            <w:r>
              <w:rPr>
                <w:sz w:val="20"/>
                <w:szCs w:val="20"/>
              </w:rPr>
              <w:t>Année 5</w:t>
            </w:r>
          </w:p>
        </w:tc>
        <w:tc>
          <w:tcPr>
            <w:tcW w:w="959" w:type="dxa"/>
          </w:tcPr>
          <w:p w14:paraId="67EE7B84" w14:textId="77777777" w:rsidR="000149F9" w:rsidRDefault="00000000">
            <w:pPr>
              <w:spacing w:after="0" w:line="240" w:lineRule="auto"/>
              <w:jc w:val="both"/>
              <w:rPr>
                <w:sz w:val="20"/>
                <w:szCs w:val="20"/>
              </w:rPr>
            </w:pPr>
            <w:r>
              <w:rPr>
                <w:sz w:val="20"/>
                <w:szCs w:val="20"/>
              </w:rPr>
              <w:t>Année 6</w:t>
            </w:r>
          </w:p>
        </w:tc>
        <w:tc>
          <w:tcPr>
            <w:tcW w:w="959" w:type="dxa"/>
          </w:tcPr>
          <w:p w14:paraId="43055E48" w14:textId="77777777" w:rsidR="000149F9" w:rsidRDefault="00000000">
            <w:pPr>
              <w:spacing w:after="0" w:line="240" w:lineRule="auto"/>
              <w:jc w:val="both"/>
              <w:rPr>
                <w:sz w:val="20"/>
                <w:szCs w:val="20"/>
              </w:rPr>
            </w:pPr>
            <w:r>
              <w:rPr>
                <w:sz w:val="20"/>
                <w:szCs w:val="20"/>
              </w:rPr>
              <w:t>Année 7</w:t>
            </w:r>
          </w:p>
        </w:tc>
        <w:tc>
          <w:tcPr>
            <w:tcW w:w="959" w:type="dxa"/>
          </w:tcPr>
          <w:p w14:paraId="3FFEB624" w14:textId="77777777" w:rsidR="000149F9" w:rsidRDefault="00000000">
            <w:pPr>
              <w:spacing w:after="0" w:line="240" w:lineRule="auto"/>
              <w:jc w:val="both"/>
              <w:rPr>
                <w:sz w:val="20"/>
                <w:szCs w:val="20"/>
              </w:rPr>
            </w:pPr>
            <w:r>
              <w:rPr>
                <w:sz w:val="20"/>
                <w:szCs w:val="20"/>
              </w:rPr>
              <w:t xml:space="preserve">Année 8 </w:t>
            </w:r>
          </w:p>
        </w:tc>
        <w:tc>
          <w:tcPr>
            <w:tcW w:w="1026" w:type="dxa"/>
          </w:tcPr>
          <w:p w14:paraId="299E4F95" w14:textId="77777777" w:rsidR="000149F9" w:rsidRDefault="00000000">
            <w:pPr>
              <w:spacing w:after="0" w:line="240" w:lineRule="auto"/>
              <w:jc w:val="both"/>
              <w:rPr>
                <w:sz w:val="20"/>
                <w:szCs w:val="20"/>
              </w:rPr>
            </w:pPr>
            <w:r>
              <w:rPr>
                <w:sz w:val="20"/>
                <w:szCs w:val="20"/>
              </w:rPr>
              <w:t xml:space="preserve">Année 9 </w:t>
            </w:r>
          </w:p>
        </w:tc>
        <w:tc>
          <w:tcPr>
            <w:tcW w:w="1050" w:type="dxa"/>
          </w:tcPr>
          <w:p w14:paraId="395FCC10" w14:textId="77777777" w:rsidR="000149F9" w:rsidRDefault="00000000">
            <w:pPr>
              <w:spacing w:after="0" w:line="240" w:lineRule="auto"/>
              <w:jc w:val="both"/>
              <w:rPr>
                <w:sz w:val="20"/>
                <w:szCs w:val="20"/>
              </w:rPr>
            </w:pPr>
            <w:r>
              <w:rPr>
                <w:sz w:val="20"/>
                <w:szCs w:val="20"/>
              </w:rPr>
              <w:t>Année 10</w:t>
            </w:r>
          </w:p>
        </w:tc>
      </w:tr>
      <w:tr w:rsidR="000149F9" w14:paraId="3D64D141" w14:textId="77777777">
        <w:trPr>
          <w:trHeight w:val="269"/>
        </w:trPr>
        <w:tc>
          <w:tcPr>
            <w:tcW w:w="959" w:type="dxa"/>
          </w:tcPr>
          <w:p w14:paraId="2D7DE019" w14:textId="77777777" w:rsidR="000149F9" w:rsidRDefault="00000000">
            <w:pPr>
              <w:spacing w:after="0" w:line="240" w:lineRule="auto"/>
              <w:jc w:val="both"/>
            </w:pPr>
            <w:r>
              <w:t>2,5%</w:t>
            </w:r>
          </w:p>
        </w:tc>
        <w:tc>
          <w:tcPr>
            <w:tcW w:w="959" w:type="dxa"/>
          </w:tcPr>
          <w:p w14:paraId="510AF7DF" w14:textId="77777777" w:rsidR="000149F9" w:rsidRDefault="00000000">
            <w:pPr>
              <w:spacing w:after="0" w:line="240" w:lineRule="auto"/>
              <w:jc w:val="both"/>
            </w:pPr>
            <w:r>
              <w:t>2,5%</w:t>
            </w:r>
          </w:p>
        </w:tc>
        <w:tc>
          <w:tcPr>
            <w:tcW w:w="959" w:type="dxa"/>
          </w:tcPr>
          <w:p w14:paraId="2CD40938" w14:textId="77777777" w:rsidR="000149F9" w:rsidRDefault="00000000">
            <w:pPr>
              <w:spacing w:after="0" w:line="240" w:lineRule="auto"/>
              <w:jc w:val="both"/>
            </w:pPr>
            <w:r>
              <w:t>5%</w:t>
            </w:r>
          </w:p>
        </w:tc>
        <w:tc>
          <w:tcPr>
            <w:tcW w:w="959" w:type="dxa"/>
          </w:tcPr>
          <w:p w14:paraId="5D726FB3" w14:textId="77777777" w:rsidR="000149F9" w:rsidRDefault="00000000">
            <w:pPr>
              <w:spacing w:after="0" w:line="240" w:lineRule="auto"/>
              <w:jc w:val="both"/>
            </w:pPr>
            <w:r>
              <w:t>7,5%</w:t>
            </w:r>
          </w:p>
        </w:tc>
        <w:tc>
          <w:tcPr>
            <w:tcW w:w="959" w:type="dxa"/>
          </w:tcPr>
          <w:p w14:paraId="0A341560" w14:textId="77777777" w:rsidR="000149F9" w:rsidRDefault="00000000">
            <w:pPr>
              <w:spacing w:after="0" w:line="240" w:lineRule="auto"/>
              <w:jc w:val="both"/>
            </w:pPr>
            <w:r>
              <w:t>7,5%</w:t>
            </w:r>
          </w:p>
        </w:tc>
        <w:tc>
          <w:tcPr>
            <w:tcW w:w="959" w:type="dxa"/>
          </w:tcPr>
          <w:p w14:paraId="0B24B435" w14:textId="77777777" w:rsidR="000149F9" w:rsidRDefault="00000000">
            <w:pPr>
              <w:spacing w:after="0" w:line="240" w:lineRule="auto"/>
              <w:jc w:val="both"/>
            </w:pPr>
            <w:r>
              <w:t>10%</w:t>
            </w:r>
          </w:p>
        </w:tc>
        <w:tc>
          <w:tcPr>
            <w:tcW w:w="959" w:type="dxa"/>
          </w:tcPr>
          <w:p w14:paraId="1A220ECD" w14:textId="77777777" w:rsidR="000149F9" w:rsidRDefault="00000000">
            <w:pPr>
              <w:spacing w:after="0" w:line="240" w:lineRule="auto"/>
              <w:jc w:val="both"/>
            </w:pPr>
            <w:r>
              <w:t>12,5%</w:t>
            </w:r>
          </w:p>
        </w:tc>
        <w:tc>
          <w:tcPr>
            <w:tcW w:w="959" w:type="dxa"/>
          </w:tcPr>
          <w:p w14:paraId="279E9522" w14:textId="77777777" w:rsidR="000149F9" w:rsidRDefault="00000000">
            <w:pPr>
              <w:spacing w:after="0" w:line="240" w:lineRule="auto"/>
              <w:jc w:val="both"/>
            </w:pPr>
            <w:r>
              <w:t>15%</w:t>
            </w:r>
          </w:p>
        </w:tc>
        <w:tc>
          <w:tcPr>
            <w:tcW w:w="1026" w:type="dxa"/>
          </w:tcPr>
          <w:p w14:paraId="09CBF7D8" w14:textId="77777777" w:rsidR="000149F9" w:rsidRDefault="00000000">
            <w:pPr>
              <w:spacing w:after="0" w:line="240" w:lineRule="auto"/>
              <w:jc w:val="both"/>
            </w:pPr>
            <w:r>
              <w:t>17.5%</w:t>
            </w:r>
          </w:p>
        </w:tc>
        <w:tc>
          <w:tcPr>
            <w:tcW w:w="1050" w:type="dxa"/>
          </w:tcPr>
          <w:p w14:paraId="70EFDFAD" w14:textId="77777777" w:rsidR="000149F9" w:rsidRDefault="00000000">
            <w:pPr>
              <w:spacing w:after="0" w:line="240" w:lineRule="auto"/>
              <w:jc w:val="both"/>
            </w:pPr>
            <w:r>
              <w:t>20%</w:t>
            </w:r>
          </w:p>
        </w:tc>
      </w:tr>
    </w:tbl>
    <w:p w14:paraId="5FBC898C" w14:textId="77777777" w:rsidR="000149F9" w:rsidRDefault="000149F9">
      <w:pPr>
        <w:jc w:val="both"/>
      </w:pPr>
    </w:p>
    <w:p w14:paraId="5EF59F04" w14:textId="77777777" w:rsidR="000149F9" w:rsidRDefault="000149F9">
      <w:pPr>
        <w:jc w:val="both"/>
      </w:pPr>
    </w:p>
    <w:p w14:paraId="0FE25085" w14:textId="77777777" w:rsidR="000149F9" w:rsidRDefault="00000000">
      <w:pPr>
        <w:pStyle w:val="Paragraphedeliste"/>
        <w:numPr>
          <w:ilvl w:val="0"/>
          <w:numId w:val="2"/>
        </w:numPr>
        <w:jc w:val="both"/>
        <w:rPr>
          <w:rFonts w:ascii="Cambria" w:hAnsi="Cambria" w:cs="Cambria"/>
          <w:b/>
          <w:bCs/>
          <w:u w:val="single"/>
        </w:rPr>
      </w:pPr>
      <w:r>
        <w:rPr>
          <w:rFonts w:ascii="Cambria" w:hAnsi="Cambria" w:cs="Cambria"/>
          <w:b/>
          <w:bCs/>
          <w:u w:val="single"/>
        </w:rPr>
        <w:t xml:space="preserve">SITUATION COMPTABLE ET PREVISIONNELLE </w:t>
      </w:r>
    </w:p>
    <w:p w14:paraId="7837BFA7" w14:textId="77777777" w:rsidR="000149F9" w:rsidRDefault="00000000">
      <w:pPr>
        <w:jc w:val="both"/>
        <w:rPr>
          <w:rFonts w:ascii="Cambria" w:hAnsi="Cambria" w:cs="Cambria"/>
        </w:rPr>
      </w:pPr>
      <w:r>
        <w:rPr>
          <w:rFonts w:ascii="Cambria" w:hAnsi="Cambria" w:cs="Cambria"/>
        </w:rPr>
        <w:t xml:space="preserve">Il est versé aux débats un compte de résultat prévisionnel établi par l’Expert-Comptable de la SAS EXCELSIOR CONSULTING faisant apparaître une capacité de financement du passif. </w:t>
      </w:r>
    </w:p>
    <w:p w14:paraId="0DC0527F" w14:textId="77777777" w:rsidR="000149F9" w:rsidRDefault="00000000">
      <w:pPr>
        <w:jc w:val="both"/>
        <w:rPr>
          <w:rFonts w:ascii="Cambria" w:hAnsi="Cambria" w:cs="Cambria"/>
        </w:rPr>
      </w:pPr>
      <w:r>
        <w:rPr>
          <w:rFonts w:ascii="Cambria" w:hAnsi="Cambria" w:cs="Cambria"/>
        </w:rPr>
        <w:t>La reprises de l’activité économique habituelle de l’entreprise lui permettra d’apurer son passif tout en dégageant un résultat positif, croissant durant toute la période du plan.</w:t>
      </w:r>
    </w:p>
    <w:p w14:paraId="26298A1C" w14:textId="77777777" w:rsidR="000149F9" w:rsidRDefault="000149F9">
      <w:pPr>
        <w:jc w:val="both"/>
        <w:rPr>
          <w:rFonts w:ascii="Cambria" w:hAnsi="Cambria" w:cs="Cambria"/>
          <w:b/>
          <w:bCs/>
          <w:u w:val="single"/>
        </w:rPr>
      </w:pPr>
    </w:p>
    <w:p w14:paraId="22A421F3" w14:textId="77777777" w:rsidR="000149F9" w:rsidRDefault="00000000">
      <w:pPr>
        <w:pStyle w:val="Paragraphedeliste"/>
        <w:numPr>
          <w:ilvl w:val="0"/>
          <w:numId w:val="2"/>
        </w:numPr>
        <w:jc w:val="both"/>
        <w:rPr>
          <w:rFonts w:ascii="Cambria" w:hAnsi="Cambria" w:cs="Cambria"/>
          <w:b/>
          <w:bCs/>
          <w:u w:val="single"/>
        </w:rPr>
      </w:pPr>
      <w:r>
        <w:rPr>
          <w:rFonts w:ascii="Cambria" w:hAnsi="Cambria" w:cs="Cambria"/>
          <w:b/>
          <w:bCs/>
          <w:u w:val="single"/>
        </w:rPr>
        <w:t>DEMANDE D’HOMOLOGATION DU PLAN DE REDRESSEMENT</w:t>
      </w:r>
    </w:p>
    <w:p w14:paraId="0DB72F96" w14:textId="77777777" w:rsidR="000149F9" w:rsidRDefault="00000000">
      <w:pPr>
        <w:jc w:val="both"/>
        <w:rPr>
          <w:rFonts w:ascii="Cambria" w:hAnsi="Cambria" w:cs="Cambria"/>
        </w:rPr>
      </w:pPr>
      <w:r>
        <w:rPr>
          <w:rFonts w:ascii="Cambria" w:hAnsi="Cambria" w:cs="Cambria"/>
        </w:rPr>
        <w:t xml:space="preserve">La période d’observation incontestablement, a été mise à profit aux fins de restructurer la SAS EXCELSIOR CONSULTING, et de retrouver une activité rentable et diminuer les frais généraux. L’ensemble de ces mesures a permis à la SAS EXCELSIOR CONSULTING d’assainir sa situation financière. </w:t>
      </w:r>
    </w:p>
    <w:p w14:paraId="47A94BD5" w14:textId="77777777" w:rsidR="000149F9" w:rsidRDefault="00000000">
      <w:pPr>
        <w:jc w:val="both"/>
        <w:rPr>
          <w:rFonts w:ascii="Cambria" w:hAnsi="Cambria" w:cs="Cambria"/>
        </w:rPr>
      </w:pPr>
      <w:r>
        <w:rPr>
          <w:rFonts w:ascii="Cambria" w:hAnsi="Cambria" w:cs="Cambria"/>
        </w:rPr>
        <w:t xml:space="preserve">Par ailleurs, l’attestation de Monsieur l’Expert-Comptable fait état d’une absence totale de dette nouvelle. </w:t>
      </w:r>
    </w:p>
    <w:p w14:paraId="44CF0903" w14:textId="77777777" w:rsidR="000149F9" w:rsidRDefault="00000000">
      <w:pPr>
        <w:jc w:val="both"/>
        <w:rPr>
          <w:rFonts w:ascii="Cambria" w:hAnsi="Cambria" w:cs="Cambria"/>
        </w:rPr>
      </w:pPr>
      <w:r>
        <w:rPr>
          <w:rFonts w:ascii="Cambria" w:hAnsi="Cambria" w:cs="Cambria"/>
        </w:rPr>
        <w:t>En l’état de l’amélioration conséquente de la situation financière de la trésorerie, des commandes à venir de la SAS ESCELSIOR CONSULTING, il est particulièrement légitime de solliciter de votre Tribunal, l’homologation de ce plan de redressement, et ainsi, de mettre fin à la période d’observation. Il semble en effet, qu’un placement de redressement sur une période de 10 ans soit optimal, en l’état du passif estimé à ce jour et des résultats prévisionnels constatés</w:t>
      </w:r>
    </w:p>
    <w:p w14:paraId="5599A1BD" w14:textId="77777777" w:rsidR="000149F9" w:rsidRDefault="000149F9">
      <w:pPr>
        <w:jc w:val="both"/>
        <w:rPr>
          <w:rFonts w:ascii="Cambria" w:hAnsi="Cambria" w:cs="Cambria"/>
        </w:rPr>
      </w:pPr>
    </w:p>
    <w:p w14:paraId="01DEADD9" w14:textId="77777777" w:rsidR="000149F9" w:rsidRDefault="000149F9">
      <w:pPr>
        <w:jc w:val="both"/>
        <w:rPr>
          <w:rFonts w:ascii="Cambria" w:hAnsi="Cambria" w:cs="Cambria"/>
        </w:rPr>
      </w:pPr>
    </w:p>
    <w:p w14:paraId="56C01DAB" w14:textId="77777777" w:rsidR="000149F9" w:rsidRDefault="000149F9">
      <w:pPr>
        <w:jc w:val="both"/>
      </w:pPr>
    </w:p>
    <w:p w14:paraId="233F2009" w14:textId="77777777" w:rsidR="000149F9" w:rsidRDefault="000149F9">
      <w:pPr>
        <w:spacing w:line="276" w:lineRule="auto"/>
        <w:jc w:val="both"/>
        <w:rPr>
          <w:rFonts w:ascii="Cambria" w:hAnsi="Cambria"/>
        </w:rPr>
      </w:pPr>
    </w:p>
    <w:p w14:paraId="47BCCDDD" w14:textId="77777777" w:rsidR="000149F9" w:rsidRDefault="000149F9">
      <w:pPr>
        <w:spacing w:line="276" w:lineRule="auto"/>
        <w:jc w:val="center"/>
        <w:rPr>
          <w:rFonts w:ascii="Cambria" w:hAnsi="Cambria"/>
        </w:rPr>
      </w:pPr>
    </w:p>
    <w:p w14:paraId="313273E6" w14:textId="77777777" w:rsidR="000149F9" w:rsidRDefault="000149F9">
      <w:pPr>
        <w:spacing w:line="276" w:lineRule="auto"/>
        <w:jc w:val="center"/>
        <w:rPr>
          <w:rFonts w:ascii="Cambria" w:hAnsi="Cambria"/>
        </w:rPr>
      </w:pPr>
    </w:p>
    <w:p w14:paraId="77950582" w14:textId="77777777" w:rsidR="000149F9" w:rsidRDefault="000149F9">
      <w:pPr>
        <w:spacing w:line="276" w:lineRule="auto"/>
        <w:jc w:val="center"/>
        <w:rPr>
          <w:rFonts w:ascii="Cambria" w:hAnsi="Cambria"/>
        </w:rPr>
      </w:pPr>
    </w:p>
    <w:p w14:paraId="2B014CF4" w14:textId="77777777" w:rsidR="000149F9" w:rsidRDefault="000149F9">
      <w:pPr>
        <w:spacing w:line="276" w:lineRule="auto"/>
        <w:jc w:val="center"/>
        <w:rPr>
          <w:rFonts w:ascii="Cambria" w:hAnsi="Cambria"/>
        </w:rPr>
      </w:pPr>
    </w:p>
    <w:p w14:paraId="6BF208E0" w14:textId="77777777" w:rsidR="000149F9" w:rsidRDefault="000149F9">
      <w:pPr>
        <w:spacing w:line="276" w:lineRule="auto"/>
        <w:jc w:val="center"/>
        <w:rPr>
          <w:rFonts w:ascii="Cambria" w:hAnsi="Cambria"/>
        </w:rPr>
      </w:pPr>
    </w:p>
    <w:p w14:paraId="3F4B6A38" w14:textId="77777777" w:rsidR="000149F9" w:rsidRDefault="000149F9" w:rsidP="00235058">
      <w:pPr>
        <w:spacing w:line="276" w:lineRule="auto"/>
        <w:rPr>
          <w:rFonts w:ascii="Cambria" w:hAnsi="Cambria"/>
        </w:rPr>
      </w:pPr>
    </w:p>
    <w:p w14:paraId="4B36AF19" w14:textId="77777777" w:rsidR="000149F9" w:rsidRDefault="000149F9">
      <w:pPr>
        <w:spacing w:line="276" w:lineRule="auto"/>
        <w:jc w:val="center"/>
        <w:rPr>
          <w:rFonts w:ascii="Cambria" w:hAnsi="Cambria"/>
        </w:rPr>
      </w:pPr>
    </w:p>
    <w:tbl>
      <w:tblPr>
        <w:tblStyle w:val="Grilledutableau"/>
        <w:tblW w:w="0" w:type="auto"/>
        <w:tblLook w:val="04A0" w:firstRow="1" w:lastRow="0" w:firstColumn="1" w:lastColumn="0" w:noHBand="0" w:noVBand="1"/>
      </w:tblPr>
      <w:tblGrid>
        <w:gridCol w:w="9062"/>
      </w:tblGrid>
      <w:tr w:rsidR="000149F9" w14:paraId="2D7A4DF0" w14:textId="77777777">
        <w:tc>
          <w:tcPr>
            <w:tcW w:w="9062" w:type="dxa"/>
          </w:tcPr>
          <w:p w14:paraId="0BE83A3C" w14:textId="77777777" w:rsidR="000149F9" w:rsidRDefault="000149F9">
            <w:pPr>
              <w:spacing w:after="0" w:line="276" w:lineRule="auto"/>
              <w:jc w:val="center"/>
              <w:rPr>
                <w:rFonts w:ascii="Cambria" w:hAnsi="Cambria"/>
                <w:b/>
                <w:bCs/>
                <w:u w:val="single"/>
              </w:rPr>
            </w:pPr>
          </w:p>
          <w:p w14:paraId="670ED5B4" w14:textId="77777777" w:rsidR="000149F9" w:rsidRDefault="00000000">
            <w:pPr>
              <w:spacing w:after="0" w:line="276" w:lineRule="auto"/>
              <w:jc w:val="center"/>
              <w:rPr>
                <w:rFonts w:ascii="Cambria" w:hAnsi="Cambria"/>
                <w:b/>
                <w:bCs/>
                <w:u w:val="single"/>
              </w:rPr>
            </w:pPr>
            <w:r>
              <w:rPr>
                <w:rFonts w:ascii="Cambria" w:hAnsi="Cambria"/>
                <w:b/>
                <w:bCs/>
                <w:u w:val="single"/>
              </w:rPr>
              <w:t>PAR CES MOTIFS</w:t>
            </w:r>
          </w:p>
          <w:p w14:paraId="3F29464A" w14:textId="77777777" w:rsidR="000149F9" w:rsidRDefault="000149F9">
            <w:pPr>
              <w:spacing w:after="0" w:line="276" w:lineRule="auto"/>
              <w:jc w:val="center"/>
              <w:rPr>
                <w:rFonts w:ascii="Cambria" w:hAnsi="Cambria"/>
                <w:b/>
                <w:bCs/>
                <w:u w:val="single"/>
              </w:rPr>
            </w:pPr>
          </w:p>
        </w:tc>
      </w:tr>
    </w:tbl>
    <w:p w14:paraId="480CCDD9" w14:textId="77777777" w:rsidR="000149F9" w:rsidRDefault="000149F9">
      <w:pPr>
        <w:spacing w:line="276" w:lineRule="auto"/>
        <w:jc w:val="both"/>
        <w:rPr>
          <w:rFonts w:ascii="Cambria" w:hAnsi="Cambria"/>
        </w:rPr>
      </w:pPr>
    </w:p>
    <w:p w14:paraId="2E41D99F" w14:textId="77777777" w:rsidR="000149F9" w:rsidRDefault="00000000">
      <w:pPr>
        <w:spacing w:line="276" w:lineRule="auto"/>
        <w:jc w:val="both"/>
        <w:rPr>
          <w:rFonts w:ascii="Cambria" w:hAnsi="Cambria"/>
        </w:rPr>
      </w:pPr>
      <w:r>
        <w:rPr>
          <w:rFonts w:ascii="Cambria" w:hAnsi="Cambria"/>
        </w:rPr>
        <w:t>-</w:t>
      </w:r>
      <w:r>
        <w:rPr>
          <w:rFonts w:ascii="Cambria" w:hAnsi="Cambria"/>
          <w:b/>
          <w:bCs/>
        </w:rPr>
        <w:t>PRONONCER</w:t>
      </w:r>
      <w:r>
        <w:rPr>
          <w:rFonts w:ascii="Cambria" w:hAnsi="Cambria"/>
        </w:rPr>
        <w:t xml:space="preserve"> le terme de la période d’observation</w:t>
      </w:r>
    </w:p>
    <w:p w14:paraId="2F466FCC" w14:textId="77777777" w:rsidR="000149F9" w:rsidRDefault="00000000">
      <w:pPr>
        <w:spacing w:line="276" w:lineRule="auto"/>
        <w:jc w:val="both"/>
        <w:rPr>
          <w:rFonts w:ascii="Cambria" w:hAnsi="Cambria"/>
        </w:rPr>
      </w:pPr>
      <w:r>
        <w:rPr>
          <w:rFonts w:ascii="Cambria" w:hAnsi="Cambria"/>
        </w:rPr>
        <w:t>-</w:t>
      </w:r>
      <w:r>
        <w:rPr>
          <w:rFonts w:ascii="Cambria" w:hAnsi="Cambria"/>
          <w:b/>
          <w:bCs/>
        </w:rPr>
        <w:t>HOMOLOGUER</w:t>
      </w:r>
      <w:r>
        <w:rPr>
          <w:rFonts w:ascii="Cambria" w:hAnsi="Cambria"/>
        </w:rPr>
        <w:t xml:space="preserve"> le plan de redressement proposé</w:t>
      </w:r>
    </w:p>
    <w:p w14:paraId="3C3BA014" w14:textId="77777777" w:rsidR="00604E42" w:rsidRDefault="00604E42">
      <w:pPr>
        <w:spacing w:after="0" w:line="240" w:lineRule="auto"/>
        <w:rPr>
          <w:rFonts w:ascii="Cambria" w:hAnsi="Cambria"/>
        </w:rPr>
      </w:pPr>
      <w:r>
        <w:rPr>
          <w:rFonts w:ascii="Cambria" w:hAnsi="Cambria"/>
        </w:rPr>
        <w:br w:type="page"/>
      </w:r>
    </w:p>
    <w:p w14:paraId="5678F73B" w14:textId="77777777" w:rsidR="000149F9" w:rsidRDefault="000149F9">
      <w:pPr>
        <w:spacing w:line="276" w:lineRule="auto"/>
        <w:jc w:val="both"/>
        <w:rPr>
          <w:rFonts w:ascii="Cambria" w:hAnsi="Cambria"/>
        </w:rPr>
      </w:pPr>
    </w:p>
    <w:p w14:paraId="79B175B6" w14:textId="77777777" w:rsidR="000149F9" w:rsidRDefault="00000000" w:rsidP="00604E42">
      <w:pPr>
        <w:spacing w:line="276" w:lineRule="auto"/>
        <w:jc w:val="center"/>
        <w:rPr>
          <w:rFonts w:ascii="Cambria" w:hAnsi="Cambria"/>
          <w:b/>
          <w:bCs/>
          <w:u w:val="single"/>
        </w:rPr>
      </w:pPr>
      <w:r w:rsidRPr="00604E42">
        <w:rPr>
          <w:rFonts w:ascii="Cambria" w:hAnsi="Cambria"/>
          <w:b/>
          <w:bCs/>
          <w:u w:val="single"/>
        </w:rPr>
        <w:t>BORDEREAU DES PIECES :</w:t>
      </w:r>
    </w:p>
    <w:p w14:paraId="27FDBACF" w14:textId="77777777" w:rsidR="00604E42" w:rsidRPr="00604E42" w:rsidRDefault="00604E42" w:rsidP="00604E42">
      <w:pPr>
        <w:spacing w:line="276" w:lineRule="auto"/>
        <w:jc w:val="center"/>
        <w:rPr>
          <w:rFonts w:ascii="Cambria" w:hAnsi="Cambria"/>
          <w:b/>
          <w:bCs/>
          <w:u w:val="single"/>
        </w:rPr>
      </w:pPr>
    </w:p>
    <w:p w14:paraId="4BF45C0F" w14:textId="77777777" w:rsidR="00604E42" w:rsidRPr="00604E42" w:rsidRDefault="00604E42" w:rsidP="00604E42">
      <w:pPr>
        <w:spacing w:line="276" w:lineRule="auto"/>
        <w:jc w:val="both"/>
        <w:rPr>
          <w:rFonts w:ascii="Cambria" w:hAnsi="Cambria"/>
        </w:rPr>
      </w:pPr>
      <w:r w:rsidRPr="00604E42">
        <w:rPr>
          <w:rFonts w:ascii="Cambria" w:hAnsi="Cambria"/>
        </w:rPr>
        <w:t>Pièce n°1 : Lettres d’engagements de chiffre d’affaires des sociétés AK et MAGELLAN</w:t>
      </w:r>
    </w:p>
    <w:p w14:paraId="787C8283" w14:textId="77777777" w:rsidR="00604E42" w:rsidRPr="00604E42" w:rsidRDefault="00604E42" w:rsidP="00604E42">
      <w:pPr>
        <w:spacing w:line="276" w:lineRule="auto"/>
        <w:jc w:val="both"/>
        <w:rPr>
          <w:rFonts w:ascii="Cambria" w:hAnsi="Cambria"/>
        </w:rPr>
      </w:pPr>
      <w:r w:rsidRPr="00604E42">
        <w:rPr>
          <w:rFonts w:ascii="Cambria" w:hAnsi="Cambria"/>
        </w:rPr>
        <w:t>Pièce n°2 : Comptabilité 2022, 2023, 2024 et 2025</w:t>
      </w:r>
    </w:p>
    <w:p w14:paraId="5BA7DE57" w14:textId="77777777" w:rsidR="00604E42" w:rsidRDefault="00604E42" w:rsidP="00604E42">
      <w:pPr>
        <w:spacing w:line="276" w:lineRule="auto"/>
        <w:jc w:val="both"/>
        <w:rPr>
          <w:rFonts w:ascii="Cambria" w:hAnsi="Cambria"/>
        </w:rPr>
      </w:pPr>
      <w:r w:rsidRPr="00604E42">
        <w:rPr>
          <w:rFonts w:ascii="Cambria" w:hAnsi="Cambria"/>
        </w:rPr>
        <w:t>Pièce n°3 : Situation au 30 juin 2026</w:t>
      </w:r>
    </w:p>
    <w:p w14:paraId="52098818" w14:textId="77777777" w:rsidR="00604E42" w:rsidRDefault="00604E42" w:rsidP="00604E42">
      <w:pPr>
        <w:spacing w:line="276" w:lineRule="auto"/>
        <w:jc w:val="both"/>
        <w:rPr>
          <w:rFonts w:ascii="Cambria" w:hAnsi="Cambria"/>
        </w:rPr>
      </w:pPr>
      <w:r>
        <w:rPr>
          <w:rFonts w:ascii="Cambria" w:hAnsi="Cambria"/>
        </w:rPr>
        <w:t xml:space="preserve">Pièce n°4 : Attestation d’absence de dette </w:t>
      </w:r>
    </w:p>
    <w:p w14:paraId="52B6EE6A" w14:textId="77777777" w:rsidR="00604E42" w:rsidRDefault="00604E42" w:rsidP="00604E42">
      <w:pPr>
        <w:spacing w:line="276" w:lineRule="auto"/>
        <w:jc w:val="both"/>
        <w:rPr>
          <w:rFonts w:ascii="Cambria" w:hAnsi="Cambria"/>
        </w:rPr>
      </w:pPr>
      <w:r>
        <w:rPr>
          <w:rFonts w:ascii="Cambria" w:hAnsi="Cambria"/>
        </w:rPr>
        <w:t>Pièce n°5 : Situation de trésorerie</w:t>
      </w:r>
    </w:p>
    <w:p w14:paraId="4EE52F59" w14:textId="77777777" w:rsidR="00604E42" w:rsidRDefault="00604E42" w:rsidP="00604E42">
      <w:pPr>
        <w:spacing w:line="276" w:lineRule="auto"/>
        <w:jc w:val="both"/>
        <w:rPr>
          <w:rFonts w:ascii="Cambria" w:hAnsi="Cambria"/>
        </w:rPr>
      </w:pPr>
      <w:r>
        <w:rPr>
          <w:rFonts w:ascii="Cambria" w:hAnsi="Cambria"/>
        </w:rPr>
        <w:t>Pièce n°6 : Bilan prévisionnel sur 10 ans</w:t>
      </w:r>
    </w:p>
    <w:p w14:paraId="4956572D" w14:textId="77777777" w:rsidR="00604E42" w:rsidRPr="00604E42" w:rsidRDefault="00604E42" w:rsidP="00604E42">
      <w:pPr>
        <w:spacing w:line="276" w:lineRule="auto"/>
        <w:jc w:val="both"/>
        <w:rPr>
          <w:rFonts w:ascii="Cambria" w:hAnsi="Cambria"/>
        </w:rPr>
      </w:pPr>
    </w:p>
    <w:p w14:paraId="105B3E21" w14:textId="77777777" w:rsidR="00604E42" w:rsidRPr="00604E42" w:rsidRDefault="00604E42" w:rsidP="00604E42">
      <w:pPr>
        <w:spacing w:line="276" w:lineRule="auto"/>
        <w:jc w:val="both"/>
        <w:rPr>
          <w:rFonts w:ascii="Cambria" w:hAnsi="Cambria"/>
          <w:u w:val="single"/>
        </w:rPr>
      </w:pPr>
    </w:p>
    <w:sectPr w:rsidR="00604E42" w:rsidRPr="00604E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20D8A" w14:textId="77777777" w:rsidR="00DE76C9" w:rsidRDefault="00DE76C9">
      <w:pPr>
        <w:spacing w:line="240" w:lineRule="auto"/>
      </w:pPr>
      <w:r>
        <w:separator/>
      </w:r>
    </w:p>
  </w:endnote>
  <w:endnote w:type="continuationSeparator" w:id="0">
    <w:p w14:paraId="4D1C1AAF" w14:textId="77777777" w:rsidR="00DE76C9" w:rsidRDefault="00DE76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F138B" w14:textId="77777777" w:rsidR="00DE76C9" w:rsidRDefault="00DE76C9">
      <w:pPr>
        <w:spacing w:after="0"/>
      </w:pPr>
      <w:r>
        <w:separator/>
      </w:r>
    </w:p>
  </w:footnote>
  <w:footnote w:type="continuationSeparator" w:id="0">
    <w:p w14:paraId="4C43B9FB" w14:textId="77777777" w:rsidR="00DE76C9" w:rsidRDefault="00DE76C9">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453144"/>
    <w:multiLevelType w:val="multilevel"/>
    <w:tmpl w:val="36453144"/>
    <w:lvl w:ilvl="0">
      <w:start w:val="1"/>
      <w:numFmt w:val="upp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4B745631"/>
    <w:multiLevelType w:val="multilevel"/>
    <w:tmpl w:val="4B745631"/>
    <w:lvl w:ilvl="0">
      <w:start w:val="1"/>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4A04198"/>
    <w:multiLevelType w:val="multilevel"/>
    <w:tmpl w:val="54A04198"/>
    <w:lvl w:ilvl="0">
      <w:numFmt w:val="bullet"/>
      <w:lvlText w:val="-"/>
      <w:lvlJc w:val="left"/>
      <w:pPr>
        <w:ind w:left="720" w:hanging="360"/>
      </w:pPr>
      <w:rPr>
        <w:rFonts w:ascii="Aptos" w:eastAsiaTheme="minorHAnsi" w:hAnsi="Aptos"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771317970">
    <w:abstractNumId w:val="1"/>
  </w:num>
  <w:num w:numId="2" w16cid:durableId="915478248">
    <w:abstractNumId w:val="0"/>
  </w:num>
  <w:num w:numId="3" w16cid:durableId="10970912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6D33"/>
    <w:rsid w:val="0001010A"/>
    <w:rsid w:val="000149F9"/>
    <w:rsid w:val="00052E7D"/>
    <w:rsid w:val="00066CAA"/>
    <w:rsid w:val="00081792"/>
    <w:rsid w:val="000849B2"/>
    <w:rsid w:val="000A147C"/>
    <w:rsid w:val="000A6A7E"/>
    <w:rsid w:val="000C73F8"/>
    <w:rsid w:val="000E052F"/>
    <w:rsid w:val="00120A7F"/>
    <w:rsid w:val="00125E60"/>
    <w:rsid w:val="001267F3"/>
    <w:rsid w:val="00145225"/>
    <w:rsid w:val="001608A8"/>
    <w:rsid w:val="0016303D"/>
    <w:rsid w:val="001C774E"/>
    <w:rsid w:val="001D5B12"/>
    <w:rsid w:val="001E720B"/>
    <w:rsid w:val="002035C9"/>
    <w:rsid w:val="00215E8D"/>
    <w:rsid w:val="002211B1"/>
    <w:rsid w:val="0022621A"/>
    <w:rsid w:val="00232EB6"/>
    <w:rsid w:val="00233A7A"/>
    <w:rsid w:val="00235058"/>
    <w:rsid w:val="00250C96"/>
    <w:rsid w:val="002C04FF"/>
    <w:rsid w:val="00314999"/>
    <w:rsid w:val="00327A44"/>
    <w:rsid w:val="00385A50"/>
    <w:rsid w:val="003C2101"/>
    <w:rsid w:val="003D53DE"/>
    <w:rsid w:val="003D6E01"/>
    <w:rsid w:val="003E68C6"/>
    <w:rsid w:val="003F296F"/>
    <w:rsid w:val="00491037"/>
    <w:rsid w:val="0049679A"/>
    <w:rsid w:val="00496ADA"/>
    <w:rsid w:val="004A6143"/>
    <w:rsid w:val="004B4CCD"/>
    <w:rsid w:val="004B4EA7"/>
    <w:rsid w:val="004C0996"/>
    <w:rsid w:val="004D624A"/>
    <w:rsid w:val="004E666D"/>
    <w:rsid w:val="004F0DF2"/>
    <w:rsid w:val="00514F01"/>
    <w:rsid w:val="005562F8"/>
    <w:rsid w:val="005579C9"/>
    <w:rsid w:val="00571BAA"/>
    <w:rsid w:val="005D6D33"/>
    <w:rsid w:val="005E4BE2"/>
    <w:rsid w:val="00602CBF"/>
    <w:rsid w:val="00604B11"/>
    <w:rsid w:val="00604E42"/>
    <w:rsid w:val="00640B87"/>
    <w:rsid w:val="00685586"/>
    <w:rsid w:val="006A15BE"/>
    <w:rsid w:val="006A2A9E"/>
    <w:rsid w:val="006C118B"/>
    <w:rsid w:val="006C6580"/>
    <w:rsid w:val="006C75B0"/>
    <w:rsid w:val="006D2711"/>
    <w:rsid w:val="006E699D"/>
    <w:rsid w:val="006F37F9"/>
    <w:rsid w:val="00701F29"/>
    <w:rsid w:val="0072259C"/>
    <w:rsid w:val="0072269B"/>
    <w:rsid w:val="00727D6E"/>
    <w:rsid w:val="00741598"/>
    <w:rsid w:val="00751203"/>
    <w:rsid w:val="00777371"/>
    <w:rsid w:val="0077759E"/>
    <w:rsid w:val="00787302"/>
    <w:rsid w:val="007A26F0"/>
    <w:rsid w:val="007B113E"/>
    <w:rsid w:val="007B2E8A"/>
    <w:rsid w:val="007C47E0"/>
    <w:rsid w:val="008109C3"/>
    <w:rsid w:val="00814418"/>
    <w:rsid w:val="0085141B"/>
    <w:rsid w:val="008721F0"/>
    <w:rsid w:val="008735A2"/>
    <w:rsid w:val="00883D54"/>
    <w:rsid w:val="008D1C45"/>
    <w:rsid w:val="009037C3"/>
    <w:rsid w:val="0091516C"/>
    <w:rsid w:val="009560C8"/>
    <w:rsid w:val="009A6064"/>
    <w:rsid w:val="009A7CA3"/>
    <w:rsid w:val="00A233D5"/>
    <w:rsid w:val="00A31C20"/>
    <w:rsid w:val="00A31FCD"/>
    <w:rsid w:val="00A37598"/>
    <w:rsid w:val="00A65E97"/>
    <w:rsid w:val="00A70134"/>
    <w:rsid w:val="00AB15A9"/>
    <w:rsid w:val="00AB4EDD"/>
    <w:rsid w:val="00AC28F5"/>
    <w:rsid w:val="00AC7E58"/>
    <w:rsid w:val="00AE66E7"/>
    <w:rsid w:val="00B12C79"/>
    <w:rsid w:val="00B15973"/>
    <w:rsid w:val="00B306EE"/>
    <w:rsid w:val="00B5718C"/>
    <w:rsid w:val="00B577AA"/>
    <w:rsid w:val="00B94B42"/>
    <w:rsid w:val="00BD288F"/>
    <w:rsid w:val="00BE396B"/>
    <w:rsid w:val="00C151E8"/>
    <w:rsid w:val="00C151F2"/>
    <w:rsid w:val="00C15EB4"/>
    <w:rsid w:val="00C25F26"/>
    <w:rsid w:val="00C76344"/>
    <w:rsid w:val="00CA2AF9"/>
    <w:rsid w:val="00CC009D"/>
    <w:rsid w:val="00CC21B7"/>
    <w:rsid w:val="00CD19C7"/>
    <w:rsid w:val="00CE45A1"/>
    <w:rsid w:val="00D01D82"/>
    <w:rsid w:val="00D30D20"/>
    <w:rsid w:val="00D7796C"/>
    <w:rsid w:val="00D85E9E"/>
    <w:rsid w:val="00DA2790"/>
    <w:rsid w:val="00DB5589"/>
    <w:rsid w:val="00DB5EBB"/>
    <w:rsid w:val="00DD76AE"/>
    <w:rsid w:val="00DE2120"/>
    <w:rsid w:val="00DE76C9"/>
    <w:rsid w:val="00E00F44"/>
    <w:rsid w:val="00E1012F"/>
    <w:rsid w:val="00E531DE"/>
    <w:rsid w:val="00E53FC9"/>
    <w:rsid w:val="00E87C7D"/>
    <w:rsid w:val="00E9457B"/>
    <w:rsid w:val="00E94C49"/>
    <w:rsid w:val="00EA4013"/>
    <w:rsid w:val="00EC234C"/>
    <w:rsid w:val="00EF5D16"/>
    <w:rsid w:val="00F0087A"/>
    <w:rsid w:val="00F23B17"/>
    <w:rsid w:val="00F41251"/>
    <w:rsid w:val="00F603C7"/>
    <w:rsid w:val="00FA7DFD"/>
    <w:rsid w:val="00FE2E0C"/>
    <w:rsid w:val="56FD4B3E"/>
    <w:rsid w:val="75830558"/>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6EF90"/>
  <w15:docId w15:val="{43B95B67-439A-AB4C-BEC2-42C8BA4A46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uiPriority="34" w:qFormat="1"/>
    <w:lsdException w:name="Quote" w:uiPriority="29" w:qFormat="1"/>
    <w:lsdException w:name="Intense Quote" w:uiPriority="3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rFonts w:asciiTheme="minorHAnsi" w:eastAsiaTheme="minorHAnsi" w:hAnsiTheme="minorHAnsi" w:cstheme="minorBidi"/>
      <w:kern w:val="2"/>
      <w:sz w:val="22"/>
      <w:szCs w:val="22"/>
      <w:lang w:eastAsia="en-US"/>
      <w14:ligatures w14:val="standardContextual"/>
    </w:rPr>
  </w:style>
  <w:style w:type="paragraph" w:styleId="Titre1">
    <w:name w:val="heading 1"/>
    <w:basedOn w:val="Normal"/>
    <w:next w:val="Normal"/>
    <w:link w:val="Titre1C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Titre9">
    <w:name w:val="heading 9"/>
    <w:basedOn w:val="Normal"/>
    <w:next w:val="Normal"/>
    <w:link w:val="Titre9C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ous-titre">
    <w:name w:val="Subtitle"/>
    <w:basedOn w:val="Normal"/>
    <w:next w:val="Normal"/>
    <w:link w:val="Sous-titreCar"/>
    <w:uiPriority w:val="11"/>
    <w:qFormat/>
    <w:rPr>
      <w:rFonts w:eastAsiaTheme="majorEastAsia" w:cstheme="majorBidi"/>
      <w:color w:val="595959" w:themeColor="text1" w:themeTint="A6"/>
      <w:spacing w:val="15"/>
      <w:sz w:val="28"/>
      <w:szCs w:val="28"/>
    </w:rPr>
  </w:style>
  <w:style w:type="paragraph" w:styleId="Titre">
    <w:name w:val="Title"/>
    <w:basedOn w:val="Normal"/>
    <w:next w:val="Normal"/>
    <w:link w:val="TitreC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1Car">
    <w:name w:val="Titre 1 Car"/>
    <w:basedOn w:val="Policepardfaut"/>
    <w:link w:val="Titre1"/>
    <w:uiPriority w:val="9"/>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qFormat/>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qFormat/>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qFormat/>
    <w:rPr>
      <w:rFonts w:eastAsiaTheme="majorEastAsia" w:cstheme="majorBidi"/>
      <w:color w:val="0F4761" w:themeColor="accent1" w:themeShade="BF"/>
    </w:rPr>
  </w:style>
  <w:style w:type="character" w:customStyle="1" w:styleId="Titre6Car">
    <w:name w:val="Titre 6 Car"/>
    <w:basedOn w:val="Policepardfaut"/>
    <w:link w:val="Titre6"/>
    <w:uiPriority w:val="9"/>
    <w:semiHidden/>
    <w:qFormat/>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qFormat/>
    <w:rPr>
      <w:rFonts w:eastAsiaTheme="majorEastAsia" w:cstheme="majorBidi"/>
      <w:color w:val="595959" w:themeColor="text1" w:themeTint="A6"/>
    </w:rPr>
  </w:style>
  <w:style w:type="character" w:customStyle="1" w:styleId="Titre8Car">
    <w:name w:val="Titre 8 Car"/>
    <w:basedOn w:val="Policepardfaut"/>
    <w:link w:val="Titre8"/>
    <w:uiPriority w:val="9"/>
    <w:semiHidden/>
    <w:qFormat/>
    <w:rPr>
      <w:rFonts w:eastAsiaTheme="majorEastAsia" w:cstheme="majorBidi"/>
      <w:i/>
      <w:iCs/>
      <w:color w:val="262626" w:themeColor="text1" w:themeTint="D9"/>
    </w:rPr>
  </w:style>
  <w:style w:type="character" w:customStyle="1" w:styleId="Titre9Car">
    <w:name w:val="Titre 9 Car"/>
    <w:basedOn w:val="Policepardfaut"/>
    <w:link w:val="Titre9"/>
    <w:uiPriority w:val="9"/>
    <w:semiHidden/>
    <w:qFormat/>
    <w:rPr>
      <w:rFonts w:eastAsiaTheme="majorEastAsia" w:cstheme="majorBidi"/>
      <w:color w:val="262626" w:themeColor="text1" w:themeTint="D9"/>
    </w:rPr>
  </w:style>
  <w:style w:type="character" w:customStyle="1" w:styleId="TitreCar">
    <w:name w:val="Titre Car"/>
    <w:basedOn w:val="Policepardfaut"/>
    <w:link w:val="Titre"/>
    <w:uiPriority w:val="10"/>
    <w:qFormat/>
    <w:rPr>
      <w:rFonts w:asciiTheme="majorHAnsi" w:eastAsiaTheme="majorEastAsia" w:hAnsiTheme="majorHAnsi" w:cstheme="majorBidi"/>
      <w:spacing w:val="-10"/>
      <w:kern w:val="28"/>
      <w:sz w:val="56"/>
      <w:szCs w:val="56"/>
    </w:rPr>
  </w:style>
  <w:style w:type="character" w:customStyle="1" w:styleId="Sous-titreCar">
    <w:name w:val="Sous-titre Car"/>
    <w:basedOn w:val="Policepardfaut"/>
    <w:link w:val="Sous-titre"/>
    <w:uiPriority w:val="11"/>
    <w:qFormat/>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qFormat/>
    <w:rPr>
      <w:i/>
      <w:iCs/>
      <w:color w:val="404040" w:themeColor="text1" w:themeTint="BF"/>
    </w:rPr>
  </w:style>
  <w:style w:type="paragraph" w:styleId="Paragraphedeliste">
    <w:name w:val="List Paragraph"/>
    <w:basedOn w:val="Normal"/>
    <w:uiPriority w:val="34"/>
    <w:qFormat/>
    <w:pPr>
      <w:ind w:left="720"/>
      <w:contextualSpacing/>
    </w:pPr>
  </w:style>
  <w:style w:type="character" w:customStyle="1" w:styleId="Accentuationintense1">
    <w:name w:val="Accentuation intense1"/>
    <w:basedOn w:val="Policepardfaut"/>
    <w:uiPriority w:val="21"/>
    <w:qFormat/>
    <w:rPr>
      <w:i/>
      <w:iCs/>
      <w:color w:val="0F4761" w:themeColor="accent1" w:themeShade="BF"/>
    </w:rPr>
  </w:style>
  <w:style w:type="paragraph" w:styleId="Citationintense">
    <w:name w:val="Intense Quote"/>
    <w:basedOn w:val="Normal"/>
    <w:next w:val="Normal"/>
    <w:link w:val="CitationintenseC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qFormat/>
    <w:rPr>
      <w:i/>
      <w:iCs/>
      <w:color w:val="0F4761" w:themeColor="accent1" w:themeShade="BF"/>
    </w:rPr>
  </w:style>
  <w:style w:type="character" w:customStyle="1" w:styleId="Rfrenceintense1">
    <w:name w:val="Référence intense1"/>
    <w:basedOn w:val="Policepardfaut"/>
    <w:uiPriority w:val="32"/>
    <w:qFormat/>
    <w:rPr>
      <w:b/>
      <w:bCs/>
      <w:smallCaps/>
      <w:color w:val="0F4761" w:themeColor="accent1" w:themeShade="BF"/>
      <w:spacing w:val="5"/>
    </w:rPr>
  </w:style>
  <w:style w:type="table" w:styleId="Grilledutableau">
    <w:name w:val="Table Grid"/>
    <w:basedOn w:val="Tableau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1136</Words>
  <Characters>6249</Characters>
  <Application>Microsoft Office Word</Application>
  <DocSecurity>0</DocSecurity>
  <Lines>52</Lines>
  <Paragraphs>14</Paragraphs>
  <ScaleCrop>false</ScaleCrop>
  <Company/>
  <LinksUpToDate>false</LinksUpToDate>
  <CharactersWithSpaces>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hugo delanoy</dc:creator>
  <cp:lastModifiedBy>Office Licence2</cp:lastModifiedBy>
  <cp:revision>2</cp:revision>
  <cp:lastPrinted>2026-03-17T16:28:00Z</cp:lastPrinted>
  <dcterms:created xsi:type="dcterms:W3CDTF">2026-07-27T07:42:00Z</dcterms:created>
  <dcterms:modified xsi:type="dcterms:W3CDTF">2026-07-27T07:42:00Z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eyJoZGlkIjoiODI3Yjg5MDhiYTI1N2Q1OWEzMjA3MmQxNmRhMTQ3MTkiLCJ1c2VySWQiOiIzNzI4NjU4NzAwNTE0In0=</vt:lpwstr>
  </property>
  <property fmtid="{D5CDD505-2E9C-101B-9397-08002B2CF9AE}" pid="3" name="KSOProductBuildVer">
    <vt:lpwstr>1036-12.1.0.26880</vt:lpwstr>
  </property>
  <property fmtid="{D5CDD505-2E9C-101B-9397-08002B2CF9AE}" pid="4" name="ICV">
    <vt:lpwstr>5A631BCF7D8940CAA4621E80923D91CC_13</vt:lpwstr>
  </property>
</Properties>
</file>