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Madame Lisy ZAROUDNY</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25232</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2026J00045</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14/01/2026</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117 Traverse de la Montre</w:t>
                  </w:r>
                </w:p>
                <w:p w:rsidR="00B84366" w:rsidP="00DF3217" w:rsidRDefault="00B84366" w14:paraId="4B3CF0C5" w14:textId="77777777">
                  <w:pPr>
                    <w:jc w:val="right"/>
                    <w:rPr>
                      <w:rFonts w:ascii="Lato" w:hAnsi="Lato"/>
                      <w:color w:val="1A8199"/>
                    </w:rPr>
                  </w:pPr>
                  <w:r>
                    <w:rPr>
                      <w:rFonts w:ascii="Lato" w:hAnsi="Lato"/>
                      <w:color w:val="1A8199"/>
                    </w:rPr>
                    <w:t>Centre commercial Grand V</w:t>
                  </w:r>
                </w:p>
                <w:p w:rsidRPr="002F7141" w:rsidR="00B84366" w:rsidP="00DF3217" w:rsidRDefault="00B84366" w14:paraId="7BED9300" w14:textId="77777777">
                  <w:pPr>
                    <w:jc w:val="right"/>
                    <w:rPr>
                      <w:rFonts w:ascii="Lato" w:hAnsi="Lato"/>
                      <w:color w:val="1A8199"/>
                    </w:rPr>
                  </w:pPr>
                  <w:r>
                    <w:rPr>
                      <w:rFonts w:ascii="Lato" w:hAnsi="Lato"/>
                      <w:color w:val="1A8199"/>
                    </w:rPr>
                    <w:t>13011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117 Traverse de la Montre</w:t>
            </w:r>
          </w:p>
          <w:p w:rsidRPr="001F13B9" w:rsidR="001F13B9" w:rsidP="001F13B9" w:rsidRDefault="001F13B9" w14:paraId="1E2CE0C9" w14:textId="77777777">
            <w:pPr>
              <w:jc w:val="center"/>
              <w:rPr>
                <w:bCs/>
              </w:rPr>
            </w:pPr>
            <w:r w:rsidRPr="001F13B9">
              <w:rPr>
                <w:bCs/>
              </w:rPr>
              <w:t>Centre commercial Grand V</w:t>
            </w:r>
          </w:p>
          <w:p w:rsidRPr="001F13B9" w:rsidR="001F13B9" w:rsidP="001F13B9" w:rsidRDefault="001F13B9" w14:paraId="3AB83724" w14:textId="77777777">
            <w:pPr>
              <w:jc w:val="center"/>
              <w:rPr>
                <w:bCs/>
              </w:rPr>
            </w:pPr>
            <w:r w:rsidRPr="001F13B9">
              <w:rPr>
                <w:bCs/>
              </w:rPr>
              <w:t>13011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Madame Lisy ZAROUDNY</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Madame Lisy ZAROUDNY</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